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17500">
      <w:pPr>
        <w:spacing w:line="360" w:lineRule="auto"/>
        <w:ind w:right="-149" w:rightChars="-71"/>
        <w:jc w:val="center"/>
        <w:outlineLvl w:val="0"/>
        <w:rPr>
          <w:rFonts w:hint="eastAsia" w:ascii="方正黑体简体" w:hAnsi="方正黑体简体" w:eastAsia="方正黑体简体" w:cs="方正黑体简体"/>
          <w:b/>
          <w:color w:val="auto"/>
          <w:kern w:val="0"/>
          <w:sz w:val="44"/>
          <w:szCs w:val="44"/>
          <w:highlight w:val="none"/>
        </w:rPr>
      </w:pPr>
      <w:r>
        <w:rPr>
          <w:rFonts w:hint="eastAsia" w:ascii="方正黑体简体" w:hAnsi="方正黑体简体" w:eastAsia="方正黑体简体" w:cs="方正黑体简体"/>
          <w:b/>
          <w:color w:val="auto"/>
          <w:kern w:val="0"/>
          <w:sz w:val="44"/>
          <w:szCs w:val="44"/>
          <w:highlight w:val="none"/>
          <w:lang w:val="en-US" w:eastAsia="zh-CN"/>
        </w:rPr>
        <w:t>新疆医科大学第七附属医院</w:t>
      </w:r>
      <w:r>
        <w:rPr>
          <w:rFonts w:hint="eastAsia" w:ascii="方正黑体简体" w:hAnsi="方正黑体简体" w:eastAsia="方正黑体简体" w:cs="方正黑体简体"/>
          <w:b/>
          <w:bCs/>
          <w:color w:val="auto"/>
          <w:sz w:val="44"/>
          <w:szCs w:val="44"/>
          <w:highlight w:val="none"/>
        </w:rPr>
        <w:t>老年综合评估系统</w:t>
      </w:r>
      <w:r>
        <w:rPr>
          <w:rFonts w:hint="eastAsia" w:ascii="方正黑体简体" w:hAnsi="方正黑体简体" w:eastAsia="方正黑体简体" w:cs="方正黑体简体"/>
          <w:b/>
          <w:color w:val="auto"/>
          <w:kern w:val="0"/>
          <w:sz w:val="44"/>
          <w:szCs w:val="44"/>
          <w:highlight w:val="none"/>
        </w:rPr>
        <w:t>项目</w:t>
      </w:r>
    </w:p>
    <w:p w14:paraId="4AA0041B">
      <w:pPr>
        <w:keepNext w:val="0"/>
        <w:keepLines w:val="0"/>
        <w:widowControl/>
        <w:suppressLineNumbers w:val="0"/>
        <w:adjustRightInd w:val="0"/>
        <w:snapToGrid w:val="0"/>
        <w:spacing w:line="420" w:lineRule="exact"/>
        <w:ind w:firstLine="480" w:firstLineChars="200"/>
        <w:jc w:val="left"/>
        <w:rPr>
          <w:rFonts w:hint="eastAsia" w:ascii="方正仿宋_GB2312" w:hAnsi="方正仿宋_GB2312" w:eastAsia="方正仿宋_GB2312" w:cs="方正仿宋_GB2312"/>
          <w:color w:val="auto"/>
          <w:kern w:val="2"/>
          <w:sz w:val="24"/>
          <w:szCs w:val="24"/>
          <w:highlight w:val="none"/>
          <w:lang w:val="en-US" w:eastAsia="zh-CN" w:bidi="ar-SA"/>
        </w:rPr>
      </w:pPr>
    </w:p>
    <w:p w14:paraId="76B56D4E">
      <w:pPr>
        <w:keepNext w:val="0"/>
        <w:keepLines w:val="0"/>
        <w:widowControl/>
        <w:suppressLineNumbers w:val="0"/>
        <w:adjustRightInd w:val="0"/>
        <w:snapToGrid w:val="0"/>
        <w:spacing w:line="420" w:lineRule="exact"/>
        <w:ind w:firstLine="0" w:firstLineChars="0"/>
        <w:jc w:val="left"/>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bidi="ar-SA"/>
        </w:rPr>
        <w:t>一、资格要求：</w:t>
      </w:r>
    </w:p>
    <w:p w14:paraId="60CE76CA">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1.满足《中</w:t>
      </w:r>
      <w:r>
        <w:rPr>
          <w:rFonts w:hint="eastAsia" w:ascii="仿宋" w:hAnsi="仿宋" w:eastAsia="仿宋" w:cs="仿宋"/>
          <w:color w:val="auto"/>
          <w:sz w:val="32"/>
          <w:szCs w:val="32"/>
        </w:rPr>
        <w:t>华人民共和国政府采购法》第二十二条规定；</w:t>
      </w:r>
    </w:p>
    <w:p w14:paraId="14E6814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2.落实政府采购政策需满足的资格要求：本项目为专门面向中小企业</w:t>
      </w:r>
      <w:r>
        <w:rPr>
          <w:rFonts w:hint="eastAsia" w:ascii="仿宋" w:hAnsi="仿宋" w:eastAsia="仿宋" w:cs="仿宋"/>
          <w:color w:val="auto"/>
          <w:kern w:val="0"/>
          <w:sz w:val="32"/>
          <w:szCs w:val="32"/>
        </w:rPr>
        <w:t>（含中型、小型企业）</w:t>
      </w:r>
      <w:r>
        <w:rPr>
          <w:rFonts w:hint="eastAsia" w:ascii="仿宋" w:hAnsi="仿宋" w:eastAsia="仿宋" w:cs="仿宋"/>
          <w:color w:val="auto"/>
          <w:sz w:val="32"/>
          <w:szCs w:val="32"/>
        </w:rPr>
        <w:t>采购项目，根据《政府采购促进中小企业发展管理办法》（财库[2020]46号）的规定，评标时将不给予此类企业进行价格的优惠。</w:t>
      </w:r>
    </w:p>
    <w:p w14:paraId="3454340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3.本项目的特定资格要求：</w:t>
      </w:r>
    </w:p>
    <w:p w14:paraId="4C4BE263">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）投标人须具有效的“一证一码”或“三证合一”的营业执照；</w:t>
      </w:r>
    </w:p>
    <w:p w14:paraId="15B25B03">
      <w:pPr>
        <w:ind w:firstLine="640" w:firstLineChars="200"/>
        <w:rPr>
          <w:rFonts w:hint="eastAsia" w:ascii="仿宋" w:hAnsi="仿宋" w:eastAsia="仿宋" w:cs="仿宋"/>
          <w:b w:val="0"/>
          <w:bCs w:val="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b w:val="0"/>
          <w:bCs w:val="0"/>
          <w:kern w:val="0"/>
          <w:sz w:val="32"/>
          <w:szCs w:val="32"/>
          <w:lang w:eastAsia="zh-CN"/>
        </w:rPr>
        <w:t>投标人</w:t>
      </w:r>
      <w:r>
        <w:rPr>
          <w:rFonts w:hint="eastAsia" w:ascii="仿宋" w:hAnsi="仿宋" w:eastAsia="仿宋" w:cs="仿宋"/>
          <w:b w:val="0"/>
          <w:bCs w:val="0"/>
          <w:kern w:val="0"/>
          <w:sz w:val="32"/>
          <w:szCs w:val="32"/>
        </w:rPr>
        <w:t>具有良好的财务状况，提供近三年202</w:t>
      </w:r>
      <w:r>
        <w:rPr>
          <w:rFonts w:hint="eastAsia" w:ascii="仿宋" w:hAnsi="仿宋" w:eastAsia="仿宋" w:cs="仿宋"/>
          <w:b w:val="0"/>
          <w:bCs w:val="0"/>
          <w:kern w:val="0"/>
          <w:sz w:val="32"/>
          <w:szCs w:val="32"/>
          <w:lang w:val="en-US" w:eastAsia="zh-CN"/>
        </w:rPr>
        <w:t>2</w:t>
      </w:r>
      <w:r>
        <w:rPr>
          <w:rFonts w:hint="eastAsia" w:ascii="仿宋" w:hAnsi="仿宋" w:eastAsia="仿宋" w:cs="仿宋"/>
          <w:b w:val="0"/>
          <w:bCs w:val="0"/>
          <w:kern w:val="0"/>
          <w:sz w:val="32"/>
          <w:szCs w:val="32"/>
        </w:rPr>
        <w:t>-202</w:t>
      </w:r>
      <w:r>
        <w:rPr>
          <w:rFonts w:hint="eastAsia" w:ascii="仿宋" w:hAnsi="仿宋" w:eastAsia="仿宋" w:cs="仿宋"/>
          <w:b w:val="0"/>
          <w:bCs w:val="0"/>
          <w:kern w:val="0"/>
          <w:sz w:val="32"/>
          <w:szCs w:val="32"/>
          <w:lang w:val="en-US" w:eastAsia="zh-CN"/>
        </w:rPr>
        <w:t>4</w:t>
      </w:r>
      <w:r>
        <w:rPr>
          <w:rFonts w:hint="eastAsia" w:ascii="仿宋" w:hAnsi="仿宋" w:eastAsia="仿宋" w:cs="仿宋"/>
          <w:b w:val="0"/>
          <w:bCs w:val="0"/>
          <w:kern w:val="0"/>
          <w:sz w:val="32"/>
          <w:szCs w:val="32"/>
        </w:rPr>
        <w:t>年任意一年经第三方审计出具的审计报告，须包含资产负债表、现金流量表、利润表等，或提供公司近</w:t>
      </w:r>
      <w:r>
        <w:rPr>
          <w:rFonts w:hint="eastAsia" w:ascii="仿宋" w:hAnsi="仿宋" w:eastAsia="仿宋" w:cs="仿宋"/>
          <w:b w:val="0"/>
          <w:bCs w:val="0"/>
          <w:kern w:val="0"/>
          <w:sz w:val="32"/>
          <w:szCs w:val="32"/>
          <w:lang w:val="en-US" w:eastAsia="zh-CN"/>
        </w:rPr>
        <w:t>三</w:t>
      </w:r>
      <w:r>
        <w:rPr>
          <w:rFonts w:hint="eastAsia" w:ascii="仿宋" w:hAnsi="仿宋" w:eastAsia="仿宋" w:cs="仿宋"/>
          <w:b w:val="0"/>
          <w:bCs w:val="0"/>
          <w:kern w:val="0"/>
          <w:sz w:val="32"/>
          <w:szCs w:val="32"/>
        </w:rPr>
        <w:t>个月的银行资信证明并加盖公章；</w:t>
      </w:r>
    </w:p>
    <w:p w14:paraId="0CCA222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3）信用记录：投标人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 </w:t>
      </w:r>
    </w:p>
    <w:p w14:paraId="79D8342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）拥有一定的技术支持和后续服务能力；</w:t>
      </w:r>
    </w:p>
    <w:p w14:paraId="4FE73FA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）参加采购活动前三年内，在经营活动中没有重大违法记录； </w:t>
      </w:r>
    </w:p>
    <w:p w14:paraId="46D9FF6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）单位负责人为同一人或者存在直接控股、管理关系的不同投标人，不得参加同一合同项下的政府采购活动。与采购人存在利害关系可能影响招标公正性的法人、其他组织或者个人，不得参加投标；</w:t>
      </w:r>
    </w:p>
    <w:p w14:paraId="5897D136">
      <w:pPr>
        <w:adjustRightInd w:val="0"/>
        <w:snapToGrid w:val="0"/>
        <w:spacing w:line="42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color w:val="auto"/>
          <w:kern w:val="2"/>
          <w:sz w:val="32"/>
          <w:szCs w:val="32"/>
          <w:highlight w:val="none"/>
          <w:lang w:val="en-US" w:eastAsia="zh-CN" w:bidi="ar-SA"/>
        </w:rPr>
        <w:t>投标供应商有本软件系统软件著作权证书或授权委托书（加盖供应商公章）。</w:t>
      </w:r>
    </w:p>
    <w:p w14:paraId="3E505201">
      <w:pPr>
        <w:adjustRightInd w:val="0"/>
        <w:snapToGrid w:val="0"/>
        <w:spacing w:line="42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color w:val="auto"/>
          <w:kern w:val="2"/>
          <w:sz w:val="32"/>
          <w:szCs w:val="32"/>
          <w:highlight w:val="none"/>
          <w:lang w:val="en-US" w:eastAsia="zh-CN" w:bidi="ar-SA"/>
        </w:rPr>
        <w:t>报价单自制并加盖公章上传（注明联系人、联系方式）。</w:t>
      </w:r>
    </w:p>
    <w:p w14:paraId="6715012F">
      <w:pPr>
        <w:adjustRightInd w:val="0"/>
        <w:snapToGrid w:val="0"/>
        <w:spacing w:line="42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color w:val="auto"/>
          <w:kern w:val="2"/>
          <w:sz w:val="32"/>
          <w:szCs w:val="32"/>
          <w:highlight w:val="none"/>
          <w:lang w:val="en-US" w:eastAsia="zh-CN" w:bidi="ar-SA"/>
        </w:rPr>
        <w:t>服务承诺书（项目维保具体工作措施、维保响应时间、故障排除等方面的内容）（加盖供应商公章）。</w:t>
      </w:r>
    </w:p>
    <w:p w14:paraId="5D70911F">
      <w:pPr>
        <w:pStyle w:val="5"/>
        <w:ind w:firstLine="42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sz w:val="32"/>
          <w:szCs w:val="32"/>
          <w:lang w:val="en-US" w:eastAsia="zh-CN"/>
        </w:rPr>
        <w:t>10</w:t>
      </w:r>
      <w:bookmarkStart w:id="2" w:name="_GoBack"/>
      <w:bookmarkEnd w:id="2"/>
      <w:r>
        <w:rPr>
          <w:rFonts w:hint="eastAsia" w:ascii="仿宋" w:hAnsi="仿宋" w:eastAsia="仿宋" w:cs="仿宋"/>
          <w:sz w:val="32"/>
          <w:szCs w:val="32"/>
          <w:lang w:eastAsia="zh-CN"/>
        </w:rPr>
        <w:t>）</w:t>
      </w:r>
      <w:r>
        <w:rPr>
          <w:rFonts w:hint="eastAsia" w:ascii="仿宋" w:hAnsi="仿宋" w:eastAsia="仿宋" w:cs="仿宋"/>
          <w:color w:val="auto"/>
          <w:kern w:val="2"/>
          <w:sz w:val="32"/>
          <w:szCs w:val="32"/>
          <w:highlight w:val="none"/>
          <w:lang w:val="en-US" w:eastAsia="zh-CN" w:bidi="ar-SA"/>
        </w:rPr>
        <w:t>本项目不允许分包。</w:t>
      </w:r>
    </w:p>
    <w:p w14:paraId="54032509">
      <w:pP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拦标价：33万</w:t>
      </w:r>
    </w:p>
    <w:p w14:paraId="5129DE8E">
      <w:pPr>
        <w:pStyle w:val="7"/>
        <w:ind w:left="0" w:firstLine="0"/>
        <w:outlineLvl w:val="0"/>
        <w:rPr>
          <w:rFonts w:hint="eastAsia" w:ascii="方正仿宋_GB2312" w:hAnsi="方正仿宋_GB2312" w:eastAsia="方正仿宋_GB2312" w:cs="方正仿宋_GB2312"/>
          <w:b/>
          <w:color w:val="auto"/>
          <w:kern w:val="0"/>
          <w:sz w:val="32"/>
          <w:szCs w:val="32"/>
          <w:highlight w:val="none"/>
          <w:lang w:val="en-US" w:eastAsia="zh-CN"/>
        </w:rPr>
      </w:pPr>
    </w:p>
    <w:p w14:paraId="17A725D4">
      <w:pPr>
        <w:pStyle w:val="7"/>
        <w:ind w:left="0" w:firstLine="0"/>
        <w:outlineLvl w:val="0"/>
        <w:rPr>
          <w:rFonts w:hint="eastAsia" w:ascii="方正仿宋_GB2312" w:hAnsi="方正仿宋_GB2312" w:eastAsia="方正仿宋_GB2312" w:cs="方正仿宋_GB2312"/>
          <w:b/>
          <w:color w:val="auto"/>
          <w:kern w:val="0"/>
          <w:sz w:val="32"/>
          <w:szCs w:val="32"/>
          <w:highlight w:val="none"/>
          <w:lang w:val="en-US" w:eastAsia="zh-CN"/>
        </w:rPr>
      </w:pPr>
    </w:p>
    <w:p w14:paraId="21A7997B">
      <w:pPr>
        <w:pStyle w:val="7"/>
        <w:ind w:left="0" w:firstLine="0"/>
        <w:outlineLvl w:val="0"/>
        <w:rPr>
          <w:rFonts w:hint="eastAsia" w:ascii="方正仿宋_GB2312" w:hAnsi="方正仿宋_GB2312" w:eastAsia="方正仿宋_GB2312" w:cs="方正仿宋_GB2312"/>
          <w:b/>
          <w:color w:val="auto"/>
          <w:kern w:val="0"/>
          <w:sz w:val="32"/>
          <w:szCs w:val="32"/>
          <w:highlight w:val="none"/>
          <w:lang w:val="en-US" w:eastAsia="zh-CN"/>
        </w:rPr>
      </w:pPr>
    </w:p>
    <w:p w14:paraId="50112995">
      <w:pPr>
        <w:pStyle w:val="7"/>
        <w:ind w:left="0" w:firstLine="0"/>
        <w:outlineLvl w:val="0"/>
        <w:rPr>
          <w:rFonts w:hint="eastAsia" w:ascii="方正仿宋_GB2312" w:hAnsi="方正仿宋_GB2312" w:eastAsia="方正仿宋_GB2312" w:cs="方正仿宋_GB2312"/>
          <w:b/>
          <w:color w:val="auto"/>
          <w:kern w:val="0"/>
          <w:sz w:val="32"/>
          <w:szCs w:val="32"/>
          <w:highlight w:val="none"/>
          <w:lang w:val="en-US" w:eastAsia="zh-CN"/>
        </w:rPr>
      </w:pPr>
    </w:p>
    <w:p w14:paraId="2EAD7E32">
      <w:pPr>
        <w:pStyle w:val="7"/>
        <w:ind w:left="0" w:firstLine="0"/>
        <w:outlineLvl w:val="0"/>
        <w:rPr>
          <w:rFonts w:hint="eastAsia" w:ascii="方正仿宋_GB2312" w:hAnsi="方正仿宋_GB2312" w:eastAsia="方正仿宋_GB2312" w:cs="方正仿宋_GB2312"/>
          <w:b/>
          <w:color w:val="auto"/>
          <w:kern w:val="0"/>
          <w:sz w:val="32"/>
          <w:szCs w:val="32"/>
          <w:highlight w:val="none"/>
          <w:lang w:val="en-US" w:eastAsia="zh-CN"/>
        </w:rPr>
      </w:pPr>
    </w:p>
    <w:p w14:paraId="21CD80CE">
      <w:pPr>
        <w:pStyle w:val="7"/>
        <w:ind w:left="0" w:firstLine="0"/>
        <w:outlineLvl w:val="0"/>
        <w:rPr>
          <w:rFonts w:hint="eastAsia" w:ascii="方正仿宋_GB2312" w:hAnsi="方正仿宋_GB2312" w:eastAsia="方正仿宋_GB2312" w:cs="方正仿宋_GB2312"/>
          <w:b/>
          <w:color w:val="auto"/>
          <w:kern w:val="0"/>
          <w:sz w:val="32"/>
          <w:szCs w:val="32"/>
          <w:highlight w:val="none"/>
          <w:lang w:val="en-US" w:eastAsia="zh-CN"/>
        </w:rPr>
      </w:pPr>
      <w:r>
        <w:rPr>
          <w:rFonts w:hint="eastAsia" w:ascii="方正仿宋_GB2312" w:hAnsi="方正仿宋_GB2312" w:eastAsia="方正仿宋_GB2312" w:cs="方正仿宋_GB2312"/>
          <w:b/>
          <w:color w:val="auto"/>
          <w:kern w:val="0"/>
          <w:sz w:val="32"/>
          <w:szCs w:val="32"/>
          <w:highlight w:val="none"/>
          <w:lang w:val="en-US" w:eastAsia="zh-CN"/>
        </w:rPr>
        <w:t>二、功能参数及要求：（打★项为关键技术指标，须提供功能截图证明或印证材料，加盖投标人公章）</w:t>
      </w:r>
    </w:p>
    <w:tbl>
      <w:tblPr>
        <w:tblStyle w:val="9"/>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538"/>
        <w:gridCol w:w="1084"/>
        <w:gridCol w:w="3152"/>
      </w:tblGrid>
      <w:tr w14:paraId="4C53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459" w:type="dxa"/>
            <w:noWrap w:val="0"/>
            <w:vAlign w:val="center"/>
          </w:tcPr>
          <w:p w14:paraId="6AD8C475">
            <w:pPr>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设备名称</w:t>
            </w:r>
          </w:p>
        </w:tc>
        <w:tc>
          <w:tcPr>
            <w:tcW w:w="3538" w:type="dxa"/>
            <w:noWrap w:val="0"/>
            <w:vAlign w:val="center"/>
          </w:tcPr>
          <w:p w14:paraId="296B171C">
            <w:pPr>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老年综合评估系统</w:t>
            </w:r>
          </w:p>
        </w:tc>
        <w:tc>
          <w:tcPr>
            <w:tcW w:w="1084" w:type="dxa"/>
            <w:noWrap w:val="0"/>
            <w:vAlign w:val="center"/>
          </w:tcPr>
          <w:p w14:paraId="7A98FDA8">
            <w:pPr>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数量</w:t>
            </w:r>
          </w:p>
        </w:tc>
        <w:tc>
          <w:tcPr>
            <w:tcW w:w="3152" w:type="dxa"/>
            <w:noWrap w:val="0"/>
            <w:vAlign w:val="center"/>
          </w:tcPr>
          <w:p w14:paraId="37C1D695">
            <w:pPr>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1套</w:t>
            </w:r>
          </w:p>
        </w:tc>
      </w:tr>
      <w:tr w14:paraId="283E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59" w:type="dxa"/>
            <w:noWrap w:val="0"/>
            <w:vAlign w:val="center"/>
          </w:tcPr>
          <w:p w14:paraId="519A73AB">
            <w:pPr>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设备用途</w:t>
            </w:r>
          </w:p>
        </w:tc>
        <w:tc>
          <w:tcPr>
            <w:tcW w:w="7774" w:type="dxa"/>
            <w:gridSpan w:val="3"/>
            <w:noWrap w:val="0"/>
            <w:vAlign w:val="center"/>
          </w:tcPr>
          <w:p w14:paraId="092D3124">
            <w:pPr>
              <w:adjustRightInd w:val="0"/>
              <w:snapToGrid w:val="0"/>
              <w:spacing w:line="42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该</w:t>
            </w:r>
            <w:r>
              <w:rPr>
                <w:rFonts w:hint="eastAsia" w:ascii="方正仿宋_GB2312" w:hAnsi="方正仿宋_GB2312" w:eastAsia="方正仿宋_GB2312" w:cs="方正仿宋_GB2312"/>
                <w:color w:val="auto"/>
                <w:sz w:val="24"/>
                <w:highlight w:val="none"/>
                <w:lang w:val="en-US" w:eastAsia="zh-CN"/>
              </w:rPr>
              <w:t>系统</w:t>
            </w:r>
            <w:r>
              <w:rPr>
                <w:rFonts w:hint="eastAsia" w:ascii="方正仿宋_GB2312" w:hAnsi="方正仿宋_GB2312" w:eastAsia="方正仿宋_GB2312" w:cs="方正仿宋_GB2312"/>
                <w:color w:val="auto"/>
                <w:sz w:val="24"/>
                <w:highlight w:val="none"/>
              </w:rPr>
              <w:t>可以判断老年人的能力状况，并发现老年人所有潜在问题，对老年患者进行医疗救治，最大程度维持和恢复老年患者的功能状态。</w:t>
            </w:r>
          </w:p>
        </w:tc>
      </w:tr>
      <w:tr w14:paraId="093A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59" w:type="dxa"/>
            <w:vMerge w:val="restart"/>
            <w:noWrap w:val="0"/>
            <w:vAlign w:val="center"/>
          </w:tcPr>
          <w:p w14:paraId="3EF45030">
            <w:pPr>
              <w:jc w:val="center"/>
              <w:rPr>
                <w:rFonts w:hint="eastAsia" w:ascii="方正仿宋_GB2312" w:hAnsi="方正仿宋_GB2312" w:eastAsia="方正仿宋_GB2312" w:cs="方正仿宋_GB2312"/>
                <w:color w:val="auto"/>
                <w:sz w:val="28"/>
                <w:szCs w:val="28"/>
                <w:highlight w:val="none"/>
              </w:rPr>
            </w:pPr>
          </w:p>
          <w:p w14:paraId="151C401C">
            <w:pPr>
              <w:jc w:val="center"/>
              <w:rPr>
                <w:rFonts w:hint="eastAsia" w:ascii="方正仿宋_GB2312" w:hAnsi="方正仿宋_GB2312" w:eastAsia="方正仿宋_GB2312" w:cs="方正仿宋_GB2312"/>
                <w:color w:val="auto"/>
                <w:sz w:val="28"/>
                <w:szCs w:val="28"/>
                <w:highlight w:val="none"/>
              </w:rPr>
            </w:pPr>
          </w:p>
          <w:p w14:paraId="42AF403C">
            <w:pPr>
              <w:jc w:val="center"/>
              <w:rPr>
                <w:rFonts w:hint="eastAsia" w:ascii="方正仿宋_GB2312" w:hAnsi="方正仿宋_GB2312" w:eastAsia="方正仿宋_GB2312" w:cs="方正仿宋_GB2312"/>
                <w:color w:val="auto"/>
                <w:sz w:val="28"/>
                <w:szCs w:val="28"/>
                <w:highlight w:val="none"/>
              </w:rPr>
            </w:pPr>
          </w:p>
          <w:p w14:paraId="2258D5E5">
            <w:pPr>
              <w:jc w:val="center"/>
              <w:rPr>
                <w:rFonts w:hint="eastAsia" w:ascii="方正仿宋_GB2312" w:hAnsi="方正仿宋_GB2312" w:eastAsia="方正仿宋_GB2312" w:cs="方正仿宋_GB2312"/>
                <w:color w:val="auto"/>
                <w:sz w:val="28"/>
                <w:szCs w:val="28"/>
                <w:highlight w:val="none"/>
              </w:rPr>
            </w:pPr>
          </w:p>
          <w:p w14:paraId="5DDE1084">
            <w:pPr>
              <w:jc w:val="center"/>
              <w:rPr>
                <w:rFonts w:hint="eastAsia" w:ascii="方正仿宋_GB2312" w:hAnsi="方正仿宋_GB2312" w:eastAsia="方正仿宋_GB2312" w:cs="方正仿宋_GB2312"/>
                <w:color w:val="auto"/>
                <w:sz w:val="28"/>
                <w:szCs w:val="28"/>
                <w:highlight w:val="none"/>
              </w:rPr>
            </w:pPr>
          </w:p>
          <w:p w14:paraId="3561F145">
            <w:pPr>
              <w:jc w:val="center"/>
              <w:rPr>
                <w:rFonts w:hint="eastAsia" w:ascii="方正仿宋_GB2312" w:hAnsi="方正仿宋_GB2312" w:eastAsia="方正仿宋_GB2312" w:cs="方正仿宋_GB2312"/>
                <w:color w:val="auto"/>
                <w:sz w:val="28"/>
                <w:szCs w:val="28"/>
                <w:highlight w:val="none"/>
              </w:rPr>
            </w:pPr>
          </w:p>
          <w:p w14:paraId="2062590B">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技</w:t>
            </w:r>
          </w:p>
          <w:p w14:paraId="0932DD56">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术</w:t>
            </w:r>
          </w:p>
          <w:p w14:paraId="0F6ACA5A">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参</w:t>
            </w:r>
          </w:p>
          <w:p w14:paraId="3E2A48AE">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数</w:t>
            </w:r>
          </w:p>
          <w:p w14:paraId="69981A66">
            <w:pPr>
              <w:pStyle w:val="12"/>
              <w:ind w:firstLine="480"/>
              <w:jc w:val="center"/>
              <w:rPr>
                <w:rFonts w:hint="eastAsia" w:ascii="方正仿宋_GB2312" w:hAnsi="方正仿宋_GB2312" w:eastAsia="方正仿宋_GB2312" w:cs="方正仿宋_GB2312"/>
                <w:color w:val="auto"/>
                <w:sz w:val="24"/>
                <w:szCs w:val="24"/>
                <w:highlight w:val="none"/>
              </w:rPr>
            </w:pPr>
          </w:p>
          <w:p w14:paraId="070B3FF9">
            <w:pPr>
              <w:pStyle w:val="12"/>
              <w:ind w:firstLine="560"/>
              <w:jc w:val="center"/>
              <w:rPr>
                <w:rFonts w:hint="eastAsia" w:ascii="方正仿宋_GB2312" w:hAnsi="方正仿宋_GB2312" w:eastAsia="方正仿宋_GB2312" w:cs="方正仿宋_GB2312"/>
                <w:color w:val="auto"/>
                <w:sz w:val="28"/>
                <w:szCs w:val="28"/>
                <w:highlight w:val="none"/>
              </w:rPr>
            </w:pPr>
          </w:p>
          <w:p w14:paraId="6A27729D">
            <w:pPr>
              <w:pStyle w:val="12"/>
              <w:ind w:firstLine="560"/>
              <w:jc w:val="center"/>
              <w:rPr>
                <w:rFonts w:hint="eastAsia" w:ascii="方正仿宋_GB2312" w:hAnsi="方正仿宋_GB2312" w:eastAsia="方正仿宋_GB2312" w:cs="方正仿宋_GB2312"/>
                <w:color w:val="auto"/>
                <w:sz w:val="28"/>
                <w:szCs w:val="28"/>
                <w:highlight w:val="none"/>
              </w:rPr>
            </w:pPr>
          </w:p>
          <w:p w14:paraId="35F8AB5A">
            <w:pPr>
              <w:pStyle w:val="12"/>
              <w:ind w:firstLine="560"/>
              <w:jc w:val="center"/>
              <w:rPr>
                <w:rFonts w:hint="eastAsia" w:ascii="方正仿宋_GB2312" w:hAnsi="方正仿宋_GB2312" w:eastAsia="方正仿宋_GB2312" w:cs="方正仿宋_GB2312"/>
                <w:color w:val="auto"/>
                <w:sz w:val="28"/>
                <w:szCs w:val="28"/>
                <w:highlight w:val="none"/>
              </w:rPr>
            </w:pPr>
          </w:p>
          <w:p w14:paraId="4ADABFCD">
            <w:pPr>
              <w:pStyle w:val="12"/>
              <w:ind w:firstLine="560"/>
              <w:jc w:val="center"/>
              <w:rPr>
                <w:rFonts w:hint="eastAsia" w:ascii="方正仿宋_GB2312" w:hAnsi="方正仿宋_GB2312" w:eastAsia="方正仿宋_GB2312" w:cs="方正仿宋_GB2312"/>
                <w:color w:val="auto"/>
                <w:sz w:val="28"/>
                <w:szCs w:val="28"/>
                <w:highlight w:val="none"/>
              </w:rPr>
            </w:pPr>
          </w:p>
          <w:p w14:paraId="3A241E91">
            <w:pPr>
              <w:pStyle w:val="12"/>
              <w:ind w:firstLine="560"/>
              <w:jc w:val="center"/>
              <w:rPr>
                <w:rFonts w:hint="eastAsia" w:ascii="方正仿宋_GB2312" w:hAnsi="方正仿宋_GB2312" w:eastAsia="方正仿宋_GB2312" w:cs="方正仿宋_GB2312"/>
                <w:color w:val="auto"/>
                <w:sz w:val="28"/>
                <w:szCs w:val="28"/>
                <w:highlight w:val="none"/>
              </w:rPr>
            </w:pPr>
          </w:p>
          <w:p w14:paraId="5785D0E7">
            <w:pPr>
              <w:pStyle w:val="12"/>
              <w:ind w:firstLine="560"/>
              <w:jc w:val="center"/>
              <w:rPr>
                <w:rFonts w:hint="eastAsia" w:ascii="方正仿宋_GB2312" w:hAnsi="方正仿宋_GB2312" w:eastAsia="方正仿宋_GB2312" w:cs="方正仿宋_GB2312"/>
                <w:color w:val="auto"/>
                <w:sz w:val="28"/>
                <w:szCs w:val="28"/>
                <w:highlight w:val="none"/>
              </w:rPr>
            </w:pPr>
          </w:p>
          <w:p w14:paraId="5E093C55">
            <w:pPr>
              <w:pStyle w:val="12"/>
              <w:ind w:firstLine="560"/>
              <w:jc w:val="center"/>
              <w:rPr>
                <w:rFonts w:hint="eastAsia" w:ascii="方正仿宋_GB2312" w:hAnsi="方正仿宋_GB2312" w:eastAsia="方正仿宋_GB2312" w:cs="方正仿宋_GB2312"/>
                <w:color w:val="auto"/>
                <w:sz w:val="28"/>
                <w:szCs w:val="28"/>
                <w:highlight w:val="none"/>
              </w:rPr>
            </w:pPr>
          </w:p>
          <w:p w14:paraId="253FFAF0">
            <w:pPr>
              <w:jc w:val="center"/>
              <w:rPr>
                <w:rFonts w:hint="eastAsia" w:ascii="方正仿宋_GB2312" w:hAnsi="方正仿宋_GB2312" w:eastAsia="方正仿宋_GB2312" w:cs="方正仿宋_GB2312"/>
                <w:color w:val="auto"/>
                <w:sz w:val="28"/>
                <w:szCs w:val="28"/>
                <w:highlight w:val="none"/>
              </w:rPr>
            </w:pPr>
          </w:p>
          <w:p w14:paraId="51638BDA">
            <w:pPr>
              <w:jc w:val="center"/>
              <w:rPr>
                <w:rFonts w:hint="eastAsia" w:ascii="方正仿宋_GB2312" w:hAnsi="方正仿宋_GB2312" w:eastAsia="方正仿宋_GB2312" w:cs="方正仿宋_GB2312"/>
                <w:color w:val="auto"/>
                <w:sz w:val="28"/>
                <w:szCs w:val="28"/>
                <w:highlight w:val="none"/>
              </w:rPr>
            </w:pPr>
          </w:p>
          <w:p w14:paraId="3708BE87">
            <w:pPr>
              <w:jc w:val="center"/>
              <w:rPr>
                <w:rFonts w:hint="eastAsia" w:ascii="方正仿宋_GB2312" w:hAnsi="方正仿宋_GB2312" w:eastAsia="方正仿宋_GB2312" w:cs="方正仿宋_GB2312"/>
                <w:color w:val="auto"/>
                <w:sz w:val="28"/>
                <w:szCs w:val="28"/>
                <w:highlight w:val="none"/>
              </w:rPr>
            </w:pPr>
          </w:p>
          <w:p w14:paraId="27B75113">
            <w:pPr>
              <w:jc w:val="center"/>
              <w:rPr>
                <w:rFonts w:hint="eastAsia" w:ascii="方正仿宋_GB2312" w:hAnsi="方正仿宋_GB2312" w:eastAsia="方正仿宋_GB2312" w:cs="方正仿宋_GB2312"/>
                <w:color w:val="auto"/>
                <w:sz w:val="28"/>
                <w:szCs w:val="28"/>
                <w:highlight w:val="none"/>
              </w:rPr>
            </w:pPr>
          </w:p>
          <w:p w14:paraId="107CBCA7">
            <w:pPr>
              <w:jc w:val="center"/>
              <w:rPr>
                <w:rFonts w:hint="eastAsia" w:ascii="方正仿宋_GB2312" w:hAnsi="方正仿宋_GB2312" w:eastAsia="方正仿宋_GB2312" w:cs="方正仿宋_GB2312"/>
                <w:color w:val="auto"/>
                <w:sz w:val="28"/>
                <w:szCs w:val="28"/>
                <w:highlight w:val="none"/>
              </w:rPr>
            </w:pPr>
          </w:p>
          <w:p w14:paraId="78AC9AAC">
            <w:pPr>
              <w:jc w:val="center"/>
              <w:rPr>
                <w:rFonts w:hint="eastAsia" w:ascii="方正仿宋_GB2312" w:hAnsi="方正仿宋_GB2312" w:eastAsia="方正仿宋_GB2312" w:cs="方正仿宋_GB2312"/>
                <w:color w:val="auto"/>
                <w:sz w:val="28"/>
                <w:szCs w:val="28"/>
                <w:highlight w:val="none"/>
              </w:rPr>
            </w:pPr>
          </w:p>
          <w:p w14:paraId="4EB34744">
            <w:pPr>
              <w:jc w:val="center"/>
              <w:rPr>
                <w:rFonts w:hint="eastAsia" w:ascii="方正仿宋_GB2312" w:hAnsi="方正仿宋_GB2312" w:eastAsia="方正仿宋_GB2312" w:cs="方正仿宋_GB2312"/>
                <w:color w:val="auto"/>
                <w:sz w:val="28"/>
                <w:szCs w:val="28"/>
                <w:highlight w:val="none"/>
              </w:rPr>
            </w:pPr>
          </w:p>
          <w:p w14:paraId="16503987">
            <w:pPr>
              <w:jc w:val="center"/>
              <w:rPr>
                <w:rFonts w:hint="eastAsia" w:ascii="方正仿宋_GB2312" w:hAnsi="方正仿宋_GB2312" w:eastAsia="方正仿宋_GB2312" w:cs="方正仿宋_GB2312"/>
                <w:color w:val="auto"/>
                <w:sz w:val="28"/>
                <w:szCs w:val="28"/>
                <w:highlight w:val="none"/>
              </w:rPr>
            </w:pPr>
          </w:p>
          <w:p w14:paraId="2903316A">
            <w:pPr>
              <w:jc w:val="center"/>
              <w:rPr>
                <w:rFonts w:hint="eastAsia" w:ascii="方正仿宋_GB2312" w:hAnsi="方正仿宋_GB2312" w:eastAsia="方正仿宋_GB2312" w:cs="方正仿宋_GB2312"/>
                <w:color w:val="auto"/>
                <w:sz w:val="28"/>
                <w:szCs w:val="28"/>
                <w:highlight w:val="none"/>
              </w:rPr>
            </w:pPr>
          </w:p>
          <w:p w14:paraId="57968146">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技</w:t>
            </w:r>
          </w:p>
          <w:p w14:paraId="74CDF17F">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术</w:t>
            </w:r>
          </w:p>
          <w:p w14:paraId="64D2EF4C">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参</w:t>
            </w:r>
          </w:p>
          <w:p w14:paraId="07EE80D9">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数</w:t>
            </w:r>
          </w:p>
          <w:p w14:paraId="284BACE6">
            <w:pPr>
              <w:pStyle w:val="12"/>
              <w:ind w:firstLine="560"/>
              <w:jc w:val="center"/>
              <w:rPr>
                <w:rFonts w:hint="eastAsia" w:ascii="方正仿宋_GB2312" w:hAnsi="方正仿宋_GB2312" w:eastAsia="方正仿宋_GB2312" w:cs="方正仿宋_GB2312"/>
                <w:color w:val="auto"/>
                <w:sz w:val="28"/>
                <w:szCs w:val="28"/>
                <w:highlight w:val="none"/>
              </w:rPr>
            </w:pPr>
          </w:p>
          <w:p w14:paraId="0204854C">
            <w:pPr>
              <w:pStyle w:val="12"/>
              <w:ind w:firstLine="560"/>
              <w:jc w:val="center"/>
              <w:rPr>
                <w:rFonts w:hint="eastAsia" w:ascii="方正仿宋_GB2312" w:hAnsi="方正仿宋_GB2312" w:eastAsia="方正仿宋_GB2312" w:cs="方正仿宋_GB2312"/>
                <w:color w:val="auto"/>
                <w:sz w:val="28"/>
                <w:szCs w:val="28"/>
                <w:highlight w:val="none"/>
              </w:rPr>
            </w:pPr>
          </w:p>
          <w:p w14:paraId="1F53242E">
            <w:pPr>
              <w:pStyle w:val="12"/>
              <w:ind w:firstLine="560"/>
              <w:jc w:val="center"/>
              <w:rPr>
                <w:rFonts w:hint="eastAsia" w:ascii="方正仿宋_GB2312" w:hAnsi="方正仿宋_GB2312" w:eastAsia="方正仿宋_GB2312" w:cs="方正仿宋_GB2312"/>
                <w:color w:val="auto"/>
                <w:sz w:val="28"/>
                <w:szCs w:val="28"/>
                <w:highlight w:val="none"/>
              </w:rPr>
            </w:pPr>
          </w:p>
          <w:p w14:paraId="3D100552">
            <w:pPr>
              <w:pStyle w:val="12"/>
              <w:ind w:firstLine="560"/>
              <w:jc w:val="center"/>
              <w:rPr>
                <w:rFonts w:hint="eastAsia" w:ascii="方正仿宋_GB2312" w:hAnsi="方正仿宋_GB2312" w:eastAsia="方正仿宋_GB2312" w:cs="方正仿宋_GB2312"/>
                <w:color w:val="auto"/>
                <w:sz w:val="28"/>
                <w:szCs w:val="28"/>
                <w:highlight w:val="none"/>
              </w:rPr>
            </w:pPr>
          </w:p>
          <w:p w14:paraId="6B1C7610">
            <w:pPr>
              <w:pStyle w:val="12"/>
              <w:ind w:firstLine="560"/>
              <w:jc w:val="center"/>
              <w:rPr>
                <w:rFonts w:hint="eastAsia" w:ascii="方正仿宋_GB2312" w:hAnsi="方正仿宋_GB2312" w:eastAsia="方正仿宋_GB2312" w:cs="方正仿宋_GB2312"/>
                <w:color w:val="auto"/>
                <w:sz w:val="28"/>
                <w:szCs w:val="28"/>
                <w:highlight w:val="none"/>
              </w:rPr>
            </w:pPr>
          </w:p>
          <w:p w14:paraId="624F7A56">
            <w:pPr>
              <w:pStyle w:val="12"/>
              <w:ind w:firstLine="560"/>
              <w:jc w:val="center"/>
              <w:rPr>
                <w:rFonts w:hint="eastAsia" w:ascii="方正仿宋_GB2312" w:hAnsi="方正仿宋_GB2312" w:eastAsia="方正仿宋_GB2312" w:cs="方正仿宋_GB2312"/>
                <w:color w:val="auto"/>
                <w:sz w:val="28"/>
                <w:szCs w:val="28"/>
                <w:highlight w:val="none"/>
              </w:rPr>
            </w:pPr>
          </w:p>
          <w:p w14:paraId="3193867F">
            <w:pPr>
              <w:pStyle w:val="12"/>
              <w:ind w:firstLine="560"/>
              <w:jc w:val="center"/>
              <w:rPr>
                <w:rFonts w:hint="eastAsia" w:ascii="方正仿宋_GB2312" w:hAnsi="方正仿宋_GB2312" w:eastAsia="方正仿宋_GB2312" w:cs="方正仿宋_GB2312"/>
                <w:color w:val="auto"/>
                <w:sz w:val="28"/>
                <w:szCs w:val="28"/>
                <w:highlight w:val="none"/>
              </w:rPr>
            </w:pPr>
          </w:p>
          <w:p w14:paraId="25E9D514">
            <w:pPr>
              <w:pStyle w:val="12"/>
              <w:ind w:firstLine="560"/>
              <w:jc w:val="center"/>
              <w:rPr>
                <w:rFonts w:hint="eastAsia" w:ascii="方正仿宋_GB2312" w:hAnsi="方正仿宋_GB2312" w:eastAsia="方正仿宋_GB2312" w:cs="方正仿宋_GB2312"/>
                <w:color w:val="auto"/>
                <w:sz w:val="28"/>
                <w:szCs w:val="28"/>
                <w:highlight w:val="none"/>
              </w:rPr>
            </w:pPr>
          </w:p>
          <w:p w14:paraId="1AAC4875">
            <w:pPr>
              <w:pStyle w:val="12"/>
              <w:ind w:firstLine="560"/>
              <w:jc w:val="center"/>
              <w:rPr>
                <w:rFonts w:hint="eastAsia" w:ascii="方正仿宋_GB2312" w:hAnsi="方正仿宋_GB2312" w:eastAsia="方正仿宋_GB2312" w:cs="方正仿宋_GB2312"/>
                <w:color w:val="auto"/>
                <w:sz w:val="28"/>
                <w:szCs w:val="28"/>
                <w:highlight w:val="none"/>
              </w:rPr>
            </w:pPr>
          </w:p>
          <w:p w14:paraId="5AD65599">
            <w:pPr>
              <w:pStyle w:val="12"/>
              <w:ind w:firstLine="560"/>
              <w:jc w:val="center"/>
              <w:rPr>
                <w:rFonts w:hint="eastAsia" w:ascii="方正仿宋_GB2312" w:hAnsi="方正仿宋_GB2312" w:eastAsia="方正仿宋_GB2312" w:cs="方正仿宋_GB2312"/>
                <w:color w:val="auto"/>
                <w:sz w:val="28"/>
                <w:szCs w:val="28"/>
                <w:highlight w:val="none"/>
              </w:rPr>
            </w:pPr>
          </w:p>
          <w:p w14:paraId="1AC39375">
            <w:pPr>
              <w:pStyle w:val="12"/>
              <w:ind w:firstLine="560"/>
              <w:jc w:val="center"/>
              <w:rPr>
                <w:rFonts w:hint="eastAsia" w:ascii="方正仿宋_GB2312" w:hAnsi="方正仿宋_GB2312" w:eastAsia="方正仿宋_GB2312" w:cs="方正仿宋_GB2312"/>
                <w:color w:val="auto"/>
                <w:sz w:val="28"/>
                <w:szCs w:val="28"/>
                <w:highlight w:val="none"/>
              </w:rPr>
            </w:pPr>
          </w:p>
          <w:p w14:paraId="78DBC3AE">
            <w:pPr>
              <w:pStyle w:val="12"/>
              <w:ind w:firstLine="560"/>
              <w:jc w:val="center"/>
              <w:rPr>
                <w:rFonts w:hint="eastAsia" w:ascii="方正仿宋_GB2312" w:hAnsi="方正仿宋_GB2312" w:eastAsia="方正仿宋_GB2312" w:cs="方正仿宋_GB2312"/>
                <w:color w:val="auto"/>
                <w:sz w:val="28"/>
                <w:szCs w:val="28"/>
                <w:highlight w:val="none"/>
              </w:rPr>
            </w:pPr>
          </w:p>
          <w:p w14:paraId="51328678">
            <w:pPr>
              <w:jc w:val="center"/>
              <w:rPr>
                <w:rFonts w:hint="eastAsia" w:ascii="方正仿宋_GB2312" w:hAnsi="方正仿宋_GB2312" w:eastAsia="方正仿宋_GB2312" w:cs="方正仿宋_GB2312"/>
                <w:color w:val="auto"/>
                <w:sz w:val="28"/>
                <w:szCs w:val="28"/>
                <w:highlight w:val="none"/>
              </w:rPr>
            </w:pPr>
          </w:p>
          <w:p w14:paraId="28EC5114">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技</w:t>
            </w:r>
          </w:p>
          <w:p w14:paraId="52489969">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术</w:t>
            </w:r>
          </w:p>
          <w:p w14:paraId="6D3DC01B">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参</w:t>
            </w:r>
          </w:p>
          <w:p w14:paraId="1D0BCB4B">
            <w:pPr>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数</w:t>
            </w:r>
          </w:p>
          <w:p w14:paraId="2251D5ED">
            <w:pPr>
              <w:pStyle w:val="12"/>
              <w:ind w:firstLine="560"/>
              <w:rPr>
                <w:rFonts w:hint="eastAsia" w:ascii="方正仿宋_GB2312" w:hAnsi="方正仿宋_GB2312" w:eastAsia="方正仿宋_GB2312" w:cs="方正仿宋_GB2312"/>
                <w:color w:val="auto"/>
                <w:sz w:val="28"/>
                <w:szCs w:val="28"/>
                <w:highlight w:val="none"/>
              </w:rPr>
            </w:pPr>
          </w:p>
          <w:p w14:paraId="2FD57522">
            <w:pPr>
              <w:pStyle w:val="12"/>
              <w:ind w:firstLine="560"/>
              <w:jc w:val="center"/>
              <w:rPr>
                <w:rFonts w:hint="eastAsia" w:ascii="方正仿宋_GB2312" w:hAnsi="方正仿宋_GB2312" w:eastAsia="方正仿宋_GB2312" w:cs="方正仿宋_GB2312"/>
                <w:color w:val="auto"/>
                <w:sz w:val="28"/>
                <w:szCs w:val="28"/>
                <w:highlight w:val="none"/>
              </w:rPr>
            </w:pPr>
          </w:p>
          <w:p w14:paraId="6CFE7C31">
            <w:pPr>
              <w:pStyle w:val="12"/>
              <w:ind w:firstLine="560"/>
              <w:jc w:val="center"/>
              <w:rPr>
                <w:rFonts w:hint="eastAsia" w:ascii="方正仿宋_GB2312" w:hAnsi="方正仿宋_GB2312" w:eastAsia="方正仿宋_GB2312" w:cs="方正仿宋_GB2312"/>
                <w:color w:val="auto"/>
                <w:sz w:val="28"/>
                <w:szCs w:val="28"/>
                <w:highlight w:val="none"/>
              </w:rPr>
            </w:pPr>
          </w:p>
          <w:p w14:paraId="365ECB53">
            <w:pPr>
              <w:pStyle w:val="12"/>
              <w:ind w:firstLine="560"/>
              <w:jc w:val="center"/>
              <w:rPr>
                <w:rFonts w:hint="eastAsia" w:ascii="方正仿宋_GB2312" w:hAnsi="方正仿宋_GB2312" w:eastAsia="方正仿宋_GB2312" w:cs="方正仿宋_GB2312"/>
                <w:color w:val="auto"/>
                <w:sz w:val="28"/>
                <w:szCs w:val="28"/>
                <w:highlight w:val="none"/>
              </w:rPr>
            </w:pPr>
          </w:p>
          <w:p w14:paraId="74C7DBD7">
            <w:pPr>
              <w:pStyle w:val="12"/>
              <w:ind w:firstLine="0" w:firstLineChars="0"/>
              <w:jc w:val="center"/>
              <w:rPr>
                <w:rFonts w:hint="eastAsia" w:ascii="方正仿宋_GB2312" w:hAnsi="方正仿宋_GB2312" w:eastAsia="方正仿宋_GB2312" w:cs="方正仿宋_GB2312"/>
                <w:color w:val="auto"/>
                <w:sz w:val="28"/>
                <w:szCs w:val="28"/>
                <w:highlight w:val="none"/>
              </w:rPr>
            </w:pPr>
          </w:p>
          <w:p w14:paraId="0CC84CA3">
            <w:pPr>
              <w:jc w:val="center"/>
              <w:rPr>
                <w:rFonts w:hint="eastAsia" w:ascii="方正仿宋_GB2312" w:hAnsi="方正仿宋_GB2312" w:eastAsia="方正仿宋_GB2312" w:cs="方正仿宋_GB2312"/>
                <w:color w:val="auto"/>
                <w:sz w:val="28"/>
                <w:szCs w:val="28"/>
                <w:highlight w:val="none"/>
              </w:rPr>
            </w:pPr>
          </w:p>
        </w:tc>
        <w:tc>
          <w:tcPr>
            <w:tcW w:w="7774" w:type="dxa"/>
            <w:gridSpan w:val="3"/>
            <w:noWrap w:val="0"/>
            <w:vAlign w:val="center"/>
          </w:tcPr>
          <w:p w14:paraId="4712EB63">
            <w:pPr>
              <w:jc w:val="cente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性能参数及要求</w:t>
            </w:r>
          </w:p>
        </w:tc>
      </w:tr>
      <w:tr w14:paraId="340A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1459" w:type="dxa"/>
            <w:vMerge w:val="continue"/>
            <w:noWrap w:val="0"/>
            <w:vAlign w:val="center"/>
          </w:tcPr>
          <w:p w14:paraId="77734E8B">
            <w:pPr>
              <w:jc w:val="center"/>
              <w:rPr>
                <w:rFonts w:hint="eastAsia" w:ascii="方正仿宋_GB2312" w:hAnsi="方正仿宋_GB2312" w:eastAsia="方正仿宋_GB2312" w:cs="方正仿宋_GB2312"/>
                <w:color w:val="auto"/>
                <w:sz w:val="28"/>
                <w:szCs w:val="28"/>
                <w:highlight w:val="none"/>
              </w:rPr>
            </w:pPr>
          </w:p>
        </w:tc>
        <w:tc>
          <w:tcPr>
            <w:tcW w:w="7774" w:type="dxa"/>
            <w:gridSpan w:val="3"/>
            <w:noWrap w:val="0"/>
            <w:vAlign w:val="center"/>
          </w:tcPr>
          <w:p w14:paraId="4DA5783B">
            <w:pPr>
              <w:pStyle w:val="12"/>
              <w:spacing w:line="400" w:lineRule="exact"/>
              <w:ind w:firstLine="480"/>
              <w:rPr>
                <w:rFonts w:hint="eastAsia" w:ascii="方正仿宋_GB2312" w:hAnsi="方正仿宋_GB2312" w:eastAsia="方正仿宋_GB2312" w:cs="方正仿宋_GB2312"/>
                <w:color w:val="auto"/>
                <w:sz w:val="24"/>
                <w:szCs w:val="24"/>
                <w:highlight w:val="none"/>
                <w:lang w:eastAsia="zh-Hans"/>
              </w:rPr>
            </w:pPr>
            <w:r>
              <w:rPr>
                <w:rFonts w:hint="eastAsia" w:ascii="方正仿宋_GB2312" w:hAnsi="方正仿宋_GB2312" w:eastAsia="方正仿宋_GB2312" w:cs="方正仿宋_GB2312"/>
                <w:color w:val="auto"/>
                <w:sz w:val="24"/>
                <w:szCs w:val="24"/>
                <w:highlight w:val="none"/>
                <w:lang w:eastAsia="zh-Hans"/>
              </w:rPr>
              <w:t>整体技术要求：遵循相关国际国内的行业标准，包括功能规范、数据标准、建设与管理标准等，具有稳定性、可靠性、兼容性、易用性和安全性。</w:t>
            </w:r>
          </w:p>
          <w:p w14:paraId="30C03BC4">
            <w:pPr>
              <w:pStyle w:val="12"/>
              <w:spacing w:line="400" w:lineRule="exact"/>
              <w:ind w:firstLine="480"/>
              <w:rPr>
                <w:rFonts w:hint="eastAsia" w:ascii="方正仿宋_GB2312" w:hAnsi="方正仿宋_GB2312" w:eastAsia="方正仿宋_GB2312" w:cs="方正仿宋_GB2312"/>
                <w:color w:val="auto"/>
                <w:sz w:val="24"/>
                <w:szCs w:val="24"/>
                <w:highlight w:val="none"/>
                <w:lang w:eastAsia="zh-Hans"/>
              </w:rPr>
            </w:pPr>
            <w:r>
              <w:rPr>
                <w:rFonts w:hint="eastAsia" w:ascii="方正仿宋_GB2312" w:hAnsi="方正仿宋_GB2312" w:eastAsia="方正仿宋_GB2312" w:cs="方正仿宋_GB2312"/>
                <w:color w:val="auto"/>
                <w:sz w:val="24"/>
                <w:szCs w:val="24"/>
                <w:highlight w:val="none"/>
                <w:lang w:eastAsia="zh-Hans"/>
              </w:rPr>
              <w:t>1、系统开发语言要求：系统开发语言采用跨平台、扩展性强、现代化的编程语言。完整的类型检查机制，确保应用系统的健壮性，敏捷的语言特性，确保对用户需求的快速响应；</w:t>
            </w:r>
          </w:p>
          <w:p w14:paraId="168255C1">
            <w:pPr>
              <w:pStyle w:val="12"/>
              <w:spacing w:line="400" w:lineRule="exact"/>
              <w:ind w:firstLine="480"/>
              <w:rPr>
                <w:rFonts w:hint="eastAsia" w:ascii="方正仿宋_GB2312" w:hAnsi="方正仿宋_GB2312" w:eastAsia="方正仿宋_GB2312" w:cs="方正仿宋_GB2312"/>
                <w:color w:val="auto"/>
                <w:sz w:val="24"/>
                <w:szCs w:val="24"/>
                <w:highlight w:val="none"/>
                <w:lang w:eastAsia="zh-Hans"/>
              </w:rPr>
            </w:pPr>
            <w:r>
              <w:rPr>
                <w:rFonts w:hint="eastAsia" w:ascii="方正仿宋_GB2312" w:hAnsi="方正仿宋_GB2312" w:eastAsia="方正仿宋_GB2312" w:cs="方正仿宋_GB2312"/>
                <w:color w:val="auto"/>
                <w:sz w:val="24"/>
                <w:szCs w:val="24"/>
                <w:highlight w:val="none"/>
                <w:lang w:eastAsia="zh-Hans"/>
              </w:rPr>
              <w:t>2、管理端采用多层架构的结构，支持PC跨平台（Windows、Linux、MacOS）的应用展示；</w:t>
            </w:r>
          </w:p>
          <w:p w14:paraId="1B96C77A">
            <w:pPr>
              <w:pStyle w:val="12"/>
              <w:spacing w:line="400" w:lineRule="exact"/>
              <w:ind w:firstLine="480"/>
              <w:rPr>
                <w:rFonts w:hint="eastAsia" w:ascii="方正仿宋_GB2312" w:hAnsi="方正仿宋_GB2312" w:eastAsia="方正仿宋_GB2312" w:cs="方正仿宋_GB2312"/>
                <w:color w:val="auto"/>
                <w:sz w:val="24"/>
                <w:szCs w:val="24"/>
                <w:highlight w:val="none"/>
                <w:lang w:eastAsia="zh-Hans"/>
              </w:rPr>
            </w:pPr>
            <w:r>
              <w:rPr>
                <w:rFonts w:hint="eastAsia" w:ascii="方正仿宋_GB2312" w:hAnsi="方正仿宋_GB2312" w:eastAsia="方正仿宋_GB2312" w:cs="方正仿宋_GB2312"/>
                <w:color w:val="auto"/>
                <w:sz w:val="24"/>
                <w:szCs w:val="24"/>
                <w:highlight w:val="none"/>
                <w:lang w:eastAsia="zh-Hans"/>
              </w:rPr>
              <w:t>3、web评估端采用多层架构的结构，支持PC、移动端跨平台（Windows、Linux、MacOS、Android）的应用展示；</w:t>
            </w:r>
          </w:p>
          <w:p w14:paraId="61CA3B36">
            <w:pPr>
              <w:pStyle w:val="12"/>
              <w:spacing w:line="400" w:lineRule="exact"/>
              <w:ind w:firstLine="480"/>
              <w:rPr>
                <w:rFonts w:hint="eastAsia" w:ascii="方正仿宋_GB2312" w:hAnsi="方正仿宋_GB2312" w:eastAsia="方正仿宋_GB2312" w:cs="方正仿宋_GB2312"/>
                <w:color w:val="auto"/>
                <w:sz w:val="24"/>
                <w:szCs w:val="24"/>
                <w:highlight w:val="none"/>
                <w:lang w:eastAsia="zh-Hans"/>
              </w:rPr>
            </w:pPr>
            <w:r>
              <w:rPr>
                <w:rFonts w:hint="eastAsia" w:ascii="方正仿宋_GB2312" w:hAnsi="方正仿宋_GB2312" w:eastAsia="方正仿宋_GB2312" w:cs="方正仿宋_GB2312"/>
                <w:color w:val="auto"/>
                <w:sz w:val="24"/>
                <w:szCs w:val="24"/>
                <w:highlight w:val="none"/>
                <w:lang w:eastAsia="zh-Hans"/>
              </w:rPr>
              <w:t>4、app评估端采用多层架构的结构，原生安装包支持。</w:t>
            </w:r>
          </w:p>
          <w:p w14:paraId="06E9A521">
            <w:pPr>
              <w:pStyle w:val="12"/>
              <w:numPr>
                <w:ilvl w:val="0"/>
                <w:numId w:val="0"/>
              </w:numPr>
              <w:spacing w:line="400" w:lineRule="exact"/>
              <w:ind w:left="420" w:hanging="420" w:firstLineChars="0"/>
              <w:rPr>
                <w:rFonts w:hint="eastAsia" w:ascii="方正仿宋_GB2312" w:hAnsi="方正仿宋_GB2312" w:eastAsia="方正仿宋_GB2312" w:cs="方正仿宋_GB2312"/>
                <w:color w:val="auto"/>
                <w:sz w:val="24"/>
                <w:szCs w:val="24"/>
                <w:highlight w:val="none"/>
                <w:lang w:eastAsia="zh-Hans"/>
              </w:rPr>
            </w:pPr>
            <w:r>
              <w:rPr>
                <w:rFonts w:hint="eastAsia" w:ascii="方正仿宋_GB2312" w:hAnsi="方正仿宋_GB2312" w:eastAsia="方正仿宋_GB2312" w:cs="方正仿宋_GB2312"/>
                <w:b/>
                <w:color w:val="auto"/>
                <w:kern w:val="0"/>
                <w:sz w:val="24"/>
                <w:highlight w:val="none"/>
                <w:lang w:val="en-US" w:eastAsia="zh-CN"/>
              </w:rPr>
              <w:t>★</w:t>
            </w:r>
            <w:r>
              <w:rPr>
                <w:rFonts w:hint="eastAsia" w:ascii="方正仿宋_GB2312" w:hAnsi="方正仿宋_GB2312" w:eastAsia="方正仿宋_GB2312" w:cs="方正仿宋_GB2312"/>
                <w:color w:val="auto"/>
                <w:sz w:val="24"/>
                <w:szCs w:val="24"/>
                <w:highlight w:val="none"/>
                <w:lang w:eastAsia="zh-Hans"/>
              </w:rPr>
              <w:t>5、本地化部署：老年综合评估</w:t>
            </w:r>
            <w:r>
              <w:rPr>
                <w:rFonts w:hint="eastAsia" w:ascii="方正仿宋_GB2312" w:hAnsi="方正仿宋_GB2312" w:eastAsia="方正仿宋_GB2312" w:cs="方正仿宋_GB2312"/>
                <w:color w:val="auto"/>
                <w:sz w:val="24"/>
                <w:szCs w:val="24"/>
                <w:highlight w:val="none"/>
                <w:lang w:val="en-US" w:eastAsia="zh-CN"/>
              </w:rPr>
              <w:t>系统</w:t>
            </w:r>
            <w:r>
              <w:rPr>
                <w:rFonts w:hint="eastAsia" w:ascii="方正仿宋_GB2312" w:hAnsi="方正仿宋_GB2312" w:eastAsia="方正仿宋_GB2312" w:cs="方正仿宋_GB2312"/>
                <w:color w:val="auto"/>
                <w:sz w:val="24"/>
                <w:szCs w:val="24"/>
                <w:highlight w:val="none"/>
                <w:lang w:eastAsia="zh-Hans"/>
              </w:rPr>
              <w:t>和院方his系统对接，从his发起评估需求，评估完成后，将评估数据和报告推送回his系统中。数据可纳入医院数据评估管理。</w:t>
            </w:r>
          </w:p>
          <w:p w14:paraId="6CF7562B">
            <w:pPr>
              <w:pStyle w:val="12"/>
              <w:spacing w:line="400" w:lineRule="exact"/>
              <w:ind w:firstLine="480"/>
              <w:rPr>
                <w:rFonts w:hint="eastAsia" w:ascii="方正仿宋_GB2312" w:hAnsi="方正仿宋_GB2312" w:eastAsia="方正仿宋_GB2312" w:cs="方正仿宋_GB2312"/>
                <w:color w:val="auto"/>
                <w:sz w:val="24"/>
                <w:szCs w:val="24"/>
                <w:highlight w:val="none"/>
                <w:lang w:eastAsia="zh-Hans"/>
              </w:rPr>
            </w:pPr>
            <w:r>
              <w:rPr>
                <w:rFonts w:hint="eastAsia" w:ascii="方正仿宋_GB2312" w:hAnsi="方正仿宋_GB2312" w:eastAsia="方正仿宋_GB2312" w:cs="方正仿宋_GB2312"/>
                <w:color w:val="auto"/>
                <w:sz w:val="24"/>
                <w:szCs w:val="24"/>
                <w:highlight w:val="none"/>
                <w:lang w:eastAsia="zh-Hans"/>
              </w:rPr>
              <w:t>6、系统本身具有灵活的过滤查询方式，本地化开发的过程中，会根据院方工作人员操作特点，个性化查询，展示页面可视化支持自定义配置。</w:t>
            </w:r>
          </w:p>
          <w:p w14:paraId="5925E0BB">
            <w:pPr>
              <w:pStyle w:val="12"/>
              <w:spacing w:line="400" w:lineRule="exact"/>
              <w:ind w:firstLine="480"/>
              <w:rPr>
                <w:rFonts w:hint="eastAsia" w:ascii="方正仿宋_GB2312" w:hAnsi="方正仿宋_GB2312" w:eastAsia="方正仿宋_GB2312" w:cs="方正仿宋_GB2312"/>
                <w:color w:val="auto"/>
                <w:sz w:val="24"/>
                <w:szCs w:val="24"/>
                <w:highlight w:val="none"/>
                <w:lang w:eastAsia="zh-Hans"/>
              </w:rPr>
            </w:pPr>
            <w:r>
              <w:rPr>
                <w:rFonts w:hint="eastAsia" w:ascii="方正仿宋_GB2312" w:hAnsi="方正仿宋_GB2312" w:eastAsia="方正仿宋_GB2312" w:cs="方正仿宋_GB2312"/>
                <w:color w:val="auto"/>
                <w:sz w:val="24"/>
                <w:szCs w:val="24"/>
                <w:highlight w:val="none"/>
                <w:lang w:eastAsia="zh-Hans"/>
              </w:rPr>
              <w:t>7、要有数据展现引擎，可以根据医院需求灵活地配置相关管理指标的呈现；</w:t>
            </w:r>
          </w:p>
          <w:p w14:paraId="754E98DE">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8、服务端支持主流厂商的硬件（Intel或AMD处理器）及Linux操作系统平台；</w:t>
            </w:r>
          </w:p>
          <w:p w14:paraId="64690BF2">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9、设备数据采集：</w:t>
            </w:r>
          </w:p>
          <w:p w14:paraId="0215F19B">
            <w:pPr>
              <w:numPr>
                <w:ilvl w:val="0"/>
                <w:numId w:val="0"/>
              </w:numPr>
              <w:spacing w:line="400" w:lineRule="exact"/>
              <w:ind w:left="420" w:hanging="420" w:firstLineChars="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b/>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1</w:t>
            </w:r>
            <w:r>
              <w:rPr>
                <w:rFonts w:hint="eastAsia" w:ascii="方正仿宋_GB2312" w:hAnsi="方正仿宋_GB2312" w:eastAsia="方正仿宋_GB2312" w:cs="方正仿宋_GB2312"/>
                <w:color w:val="auto"/>
                <w:kern w:val="0"/>
                <w:sz w:val="24"/>
                <w:highlight w:val="none"/>
                <w:lang w:eastAsia="zh-Hans"/>
              </w:rPr>
              <w:t>）安全要求：系统服务器必须在医院内网安装。多层安全性保障，从操作系统、数据库、应用软件等多层次设置安全屏障，有效保证数据安全，保证数据不被篡改，保证网络信息的安全性、完整性。</w:t>
            </w:r>
          </w:p>
          <w:p w14:paraId="1076C867">
            <w:pPr>
              <w:numPr>
                <w:ilvl w:val="0"/>
                <w:numId w:val="0"/>
              </w:numPr>
              <w:spacing w:line="400" w:lineRule="exact"/>
              <w:ind w:left="420" w:hanging="420" w:firstLineChars="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b/>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2</w:t>
            </w:r>
            <w:r>
              <w:rPr>
                <w:rFonts w:hint="eastAsia" w:ascii="方正仿宋_GB2312" w:hAnsi="方正仿宋_GB2312" w:eastAsia="方正仿宋_GB2312" w:cs="方正仿宋_GB2312"/>
                <w:color w:val="auto"/>
                <w:kern w:val="0"/>
                <w:sz w:val="24"/>
                <w:highlight w:val="none"/>
                <w:lang w:eastAsia="zh-Hans"/>
              </w:rPr>
              <w:t>）系统对接要求：</w:t>
            </w:r>
          </w:p>
          <w:p w14:paraId="16744D23">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能够与</w:t>
            </w:r>
            <w:r>
              <w:rPr>
                <w:rFonts w:hint="eastAsia" w:ascii="方正仿宋_GB2312" w:hAnsi="方正仿宋_GB2312" w:eastAsia="方正仿宋_GB2312" w:cs="方正仿宋_GB2312"/>
                <w:color w:val="auto"/>
                <w:kern w:val="0"/>
                <w:sz w:val="24"/>
                <w:highlight w:val="none"/>
                <w:lang w:val="en-US" w:eastAsia="zh-CN"/>
              </w:rPr>
              <w:t>his</w:t>
            </w:r>
            <w:r>
              <w:rPr>
                <w:rFonts w:hint="eastAsia" w:ascii="方正仿宋_GB2312" w:hAnsi="方正仿宋_GB2312" w:eastAsia="方正仿宋_GB2312" w:cs="方正仿宋_GB2312"/>
                <w:color w:val="auto"/>
                <w:kern w:val="0"/>
                <w:sz w:val="24"/>
                <w:highlight w:val="none"/>
                <w:lang w:eastAsia="zh-Hans"/>
              </w:rPr>
              <w:t>平台对接，获取</w:t>
            </w:r>
            <w:r>
              <w:rPr>
                <w:rFonts w:hint="eastAsia" w:ascii="方正仿宋_GB2312" w:hAnsi="方正仿宋_GB2312" w:eastAsia="方正仿宋_GB2312" w:cs="方正仿宋_GB2312"/>
                <w:color w:val="auto"/>
                <w:kern w:val="0"/>
                <w:sz w:val="24"/>
                <w:highlight w:val="none"/>
                <w:lang w:val="en-US" w:eastAsia="zh-CN"/>
              </w:rPr>
              <w:t>his</w:t>
            </w:r>
            <w:r>
              <w:rPr>
                <w:rFonts w:hint="eastAsia" w:ascii="方正仿宋_GB2312" w:hAnsi="方正仿宋_GB2312" w:eastAsia="方正仿宋_GB2312" w:cs="方正仿宋_GB2312"/>
                <w:color w:val="auto"/>
                <w:kern w:val="0"/>
                <w:sz w:val="24"/>
                <w:highlight w:val="none"/>
                <w:lang w:eastAsia="zh-Hans"/>
              </w:rPr>
              <w:t>平台中的相关数据内容。老年综合评估系统在评估开始时，向his等集成系统拉取数据，并在评估结束时，向his等集成系统推送评估数据。提供可拓展业务及数据接口，并支持本地化部署。</w:t>
            </w:r>
          </w:p>
          <w:p w14:paraId="52C88506">
            <w:pPr>
              <w:keepNext w:val="0"/>
              <w:keepLines w:val="0"/>
              <w:widowControl/>
              <w:suppressLineNumbers w:val="0"/>
              <w:ind w:firstLine="480" w:firstLineChars="200"/>
              <w:jc w:val="left"/>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val="en-US" w:eastAsia="zh-CN"/>
              </w:rPr>
              <w:t>3</w:t>
            </w: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eastAsia="zh-Hans"/>
              </w:rPr>
              <w:t>数据对接能够</w:t>
            </w:r>
            <w:r>
              <w:rPr>
                <w:rFonts w:hint="eastAsia" w:ascii="方正仿宋_GB2312" w:hAnsi="方正仿宋_GB2312" w:eastAsia="方正仿宋_GB2312" w:cs="方正仿宋_GB2312"/>
                <w:color w:val="auto"/>
                <w:kern w:val="0"/>
                <w:sz w:val="24"/>
                <w:highlight w:val="none"/>
              </w:rPr>
              <w:t>与</w:t>
            </w:r>
            <w:r>
              <w:rPr>
                <w:rFonts w:hint="eastAsia" w:ascii="方正仿宋_GB2312" w:hAnsi="方正仿宋_GB2312" w:eastAsia="方正仿宋_GB2312" w:cs="方正仿宋_GB2312"/>
                <w:color w:val="auto"/>
                <w:kern w:val="0"/>
                <w:sz w:val="24"/>
                <w:highlight w:val="none"/>
                <w:lang w:eastAsia="zh-Hans"/>
              </w:rPr>
              <w:t>医院现有集成平台交互，并满足系统使用要求。</w:t>
            </w:r>
          </w:p>
          <w:p w14:paraId="541EF413">
            <w:pPr>
              <w:keepNext w:val="0"/>
              <w:keepLines w:val="0"/>
              <w:widowControl/>
              <w:numPr>
                <w:ilvl w:val="0"/>
                <w:numId w:val="0"/>
              </w:numPr>
              <w:suppressLineNumbers w:val="0"/>
              <w:spacing w:line="400" w:lineRule="exact"/>
              <w:ind w:left="420" w:hanging="420" w:firstLineChars="0"/>
              <w:jc w:val="left"/>
              <w:rPr>
                <w:rFonts w:hint="eastAsia" w:ascii="方正仿宋_GB2312" w:hAnsi="方正仿宋_GB2312" w:eastAsia="方正仿宋_GB2312" w:cs="方正仿宋_GB2312"/>
                <w:color w:val="auto"/>
                <w:kern w:val="0"/>
                <w:sz w:val="24"/>
                <w:szCs w:val="24"/>
                <w:highlight w:val="none"/>
                <w:lang w:val="en-US" w:eastAsia="zh-CN" w:bidi="ar"/>
              </w:rPr>
            </w:pPr>
            <w:r>
              <w:rPr>
                <w:rFonts w:hint="eastAsia" w:ascii="方正仿宋_GB2312" w:hAnsi="方正仿宋_GB2312" w:eastAsia="方正仿宋_GB2312" w:cs="方正仿宋_GB2312"/>
                <w:color w:val="auto"/>
                <w:kern w:val="0"/>
                <w:sz w:val="24"/>
                <w:szCs w:val="24"/>
                <w:highlight w:val="none"/>
                <w:lang w:val="en-US" w:eastAsia="zh-Hans" w:bidi="ar"/>
              </w:rPr>
              <w:t>（4）所投产品需支持电脑端、移动端进行老年综合情况的采集录入，包含指标数据的采集、试验计时等数据实时采集、电子报告在线生成、防治计划、防治目标编写，审核报告的终端应用等</w:t>
            </w:r>
            <w:r>
              <w:rPr>
                <w:rFonts w:hint="eastAsia" w:ascii="方正仿宋_GB2312" w:hAnsi="方正仿宋_GB2312" w:eastAsia="方正仿宋_GB2312" w:cs="方正仿宋_GB2312"/>
                <w:color w:val="auto"/>
                <w:kern w:val="0"/>
                <w:sz w:val="24"/>
                <w:szCs w:val="24"/>
                <w:highlight w:val="none"/>
                <w:lang w:val="en-US" w:eastAsia="zh-CN" w:bidi="ar"/>
              </w:rPr>
              <w:t>。</w:t>
            </w:r>
          </w:p>
          <w:p w14:paraId="08665538">
            <w:pPr>
              <w:keepNext w:val="0"/>
              <w:keepLines w:val="0"/>
              <w:widowControl/>
              <w:numPr>
                <w:ilvl w:val="0"/>
                <w:numId w:val="0"/>
              </w:numPr>
              <w:suppressLineNumbers w:val="0"/>
              <w:spacing w:line="400" w:lineRule="exact"/>
              <w:ind w:left="420" w:hanging="420" w:firstLineChars="0"/>
              <w:jc w:val="left"/>
              <w:rPr>
                <w:rFonts w:hint="eastAsia" w:ascii="方正仿宋_GB2312" w:hAnsi="方正仿宋_GB2312" w:eastAsia="方正仿宋_GB2312" w:cs="方正仿宋_GB2312"/>
                <w:color w:val="auto"/>
                <w:kern w:val="0"/>
                <w:sz w:val="24"/>
                <w:highlight w:val="none"/>
                <w:lang w:eastAsia="zh-CN" w:bidi="ar"/>
              </w:rPr>
            </w:pPr>
            <w:r>
              <w:rPr>
                <w:rFonts w:hint="eastAsia" w:ascii="方正仿宋_GB2312" w:hAnsi="方正仿宋_GB2312" w:eastAsia="方正仿宋_GB2312" w:cs="方正仿宋_GB2312"/>
                <w:color w:val="auto"/>
                <w:kern w:val="0"/>
                <w:sz w:val="24"/>
                <w:szCs w:val="24"/>
                <w:highlight w:val="none"/>
                <w:lang w:val="en-US" w:eastAsia="zh-Hans" w:bidi="ar"/>
              </w:rPr>
              <w:t>（5）可以嵌入医院微信</w:t>
            </w:r>
            <w:r>
              <w:rPr>
                <w:rFonts w:hint="eastAsia" w:ascii="方正仿宋_GB2312" w:hAnsi="方正仿宋_GB2312" w:eastAsia="方正仿宋_GB2312" w:cs="方正仿宋_GB2312"/>
                <w:color w:val="auto"/>
                <w:kern w:val="0"/>
                <w:sz w:val="24"/>
                <w:szCs w:val="24"/>
                <w:highlight w:val="none"/>
                <w:lang w:val="en-US" w:eastAsia="zh-CN" w:bidi="ar"/>
              </w:rPr>
              <w:t>小程序</w:t>
            </w:r>
            <w:r>
              <w:rPr>
                <w:rFonts w:hint="eastAsia" w:ascii="方正仿宋_GB2312" w:hAnsi="方正仿宋_GB2312" w:eastAsia="方正仿宋_GB2312" w:cs="方正仿宋_GB2312"/>
                <w:color w:val="auto"/>
                <w:kern w:val="0"/>
                <w:sz w:val="24"/>
                <w:szCs w:val="24"/>
                <w:highlight w:val="none"/>
                <w:lang w:val="en-US" w:eastAsia="zh-Hans" w:bidi="ar"/>
              </w:rPr>
              <w:t>、公众号等第三方平台对评估报告查询浏览。</w:t>
            </w:r>
          </w:p>
          <w:p w14:paraId="3E1359CF">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10、老年评估系统功能需求</w:t>
            </w:r>
          </w:p>
          <w:p w14:paraId="6052E7DA">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val="en-US" w:eastAsia="zh-CN"/>
              </w:rPr>
              <w:t>1</w:t>
            </w: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eastAsia="zh-Hans"/>
              </w:rPr>
              <w:t>老年综合评估筛查版</w:t>
            </w:r>
          </w:p>
          <w:p w14:paraId="4CAE6602">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评估内容为筛查信息，共包含 20 项指标，如下所示：</w:t>
            </w:r>
          </w:p>
          <w:p w14:paraId="65105695">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视力、听力、多重用药、 日常生活能力、移动平衡能力、跌倒、认知功能、营养状态、衰弱、肌少症、尿失禁、抑郁、焦虑、慢性便秘、持续性疼痛、睡眠、压疮、吞咽障碍、 口腔、骨质疏松。</w:t>
            </w:r>
          </w:p>
          <w:p w14:paraId="395EEE01">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val="en-US" w:eastAsia="zh-CN"/>
              </w:rPr>
              <w:t>2</w:t>
            </w:r>
            <w:r>
              <w:rPr>
                <w:rFonts w:hint="eastAsia" w:ascii="方正仿宋_GB2312" w:hAnsi="方正仿宋_GB2312" w:eastAsia="方正仿宋_GB2312" w:cs="方正仿宋_GB2312"/>
                <w:color w:val="auto"/>
                <w:kern w:val="0"/>
                <w:sz w:val="24"/>
                <w:highlight w:val="none"/>
                <w:lang w:eastAsia="zh-CN"/>
              </w:rPr>
              <w:t>）老年综合评估标准版</w:t>
            </w:r>
          </w:p>
          <w:p w14:paraId="4E9240FD">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标准版共包含五部分评估内容：基本信息，健康信息，功能评估、</w:t>
            </w:r>
          </w:p>
          <w:p w14:paraId="18CD83B9">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eastAsia="zh-CN"/>
              </w:rPr>
              <w:t>老年综合征评估和社会评估。</w:t>
            </w:r>
            <w:r>
              <w:rPr>
                <w:rFonts w:hint="eastAsia" w:ascii="方正仿宋_GB2312" w:hAnsi="方正仿宋_GB2312" w:eastAsia="方正仿宋_GB2312" w:cs="方正仿宋_GB2312"/>
                <w:color w:val="auto"/>
                <w:kern w:val="0"/>
                <w:sz w:val="24"/>
                <w:highlight w:val="none"/>
                <w:lang w:val="en-US" w:eastAsia="zh-CN"/>
              </w:rPr>
              <w:t>其中：</w:t>
            </w:r>
          </w:p>
          <w:p w14:paraId="621B9471">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eastAsia="zh-CN"/>
              </w:rPr>
              <w:t>功能评估</w:t>
            </w:r>
            <w:r>
              <w:rPr>
                <w:rFonts w:hint="eastAsia" w:ascii="方正仿宋_GB2312" w:hAnsi="方正仿宋_GB2312" w:eastAsia="方正仿宋_GB2312" w:cs="方正仿宋_GB2312"/>
                <w:color w:val="auto"/>
                <w:kern w:val="0"/>
                <w:sz w:val="24"/>
                <w:highlight w:val="none"/>
                <w:lang w:val="en-US" w:eastAsia="zh-CN"/>
              </w:rPr>
              <w:t>包含三项：</w:t>
            </w:r>
            <w:r>
              <w:rPr>
                <w:rFonts w:hint="eastAsia" w:ascii="方正仿宋_GB2312" w:hAnsi="方正仿宋_GB2312" w:eastAsia="方正仿宋_GB2312" w:cs="方正仿宋_GB2312"/>
                <w:color w:val="auto"/>
                <w:kern w:val="0"/>
                <w:sz w:val="24"/>
                <w:highlight w:val="none"/>
                <w:lang w:eastAsia="zh-CN"/>
              </w:rPr>
              <w:t>日常生活能力、移动/平衡能力、认知功能</w:t>
            </w:r>
          </w:p>
          <w:p w14:paraId="731F275F">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老年综合征评估</w:t>
            </w:r>
            <w:r>
              <w:rPr>
                <w:rFonts w:hint="eastAsia" w:ascii="方正仿宋_GB2312" w:hAnsi="方正仿宋_GB2312" w:eastAsia="方正仿宋_GB2312" w:cs="方正仿宋_GB2312"/>
                <w:color w:val="auto"/>
                <w:kern w:val="0"/>
                <w:sz w:val="24"/>
                <w:highlight w:val="none"/>
                <w:lang w:val="en-US" w:eastAsia="zh-CN"/>
              </w:rPr>
              <w:t>包含十五项：</w:t>
            </w:r>
            <w:r>
              <w:rPr>
                <w:rFonts w:hint="eastAsia" w:ascii="方正仿宋_GB2312" w:hAnsi="方正仿宋_GB2312" w:eastAsia="方正仿宋_GB2312" w:cs="方正仿宋_GB2312"/>
                <w:color w:val="auto"/>
                <w:kern w:val="0"/>
                <w:sz w:val="24"/>
                <w:highlight w:val="none"/>
                <w:lang w:eastAsia="zh-CN"/>
              </w:rPr>
              <w:t>谵妄、抑郁、焦虑、吞咽障碍、营养不良、肌少症、衰弱、跌倒、尿失禁、压疮、便秘、口腔、疼痛、睡眠障碍、骨质疏松。</w:t>
            </w:r>
          </w:p>
          <w:p w14:paraId="2D858C0F">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社会学评估</w:t>
            </w:r>
            <w:r>
              <w:rPr>
                <w:rFonts w:hint="eastAsia" w:ascii="方正仿宋_GB2312" w:hAnsi="方正仿宋_GB2312" w:eastAsia="方正仿宋_GB2312" w:cs="方正仿宋_GB2312"/>
                <w:color w:val="auto"/>
                <w:kern w:val="0"/>
                <w:sz w:val="24"/>
                <w:highlight w:val="none"/>
                <w:lang w:val="en-US" w:eastAsia="zh-CN"/>
              </w:rPr>
              <w:t>包含四项：</w:t>
            </w:r>
            <w:r>
              <w:rPr>
                <w:rFonts w:hint="eastAsia" w:ascii="方正仿宋_GB2312" w:hAnsi="方正仿宋_GB2312" w:eastAsia="方正仿宋_GB2312" w:cs="方正仿宋_GB2312"/>
                <w:color w:val="auto"/>
                <w:kern w:val="0"/>
                <w:sz w:val="24"/>
                <w:highlight w:val="none"/>
                <w:lang w:eastAsia="zh-CN"/>
              </w:rPr>
              <w:t xml:space="preserve"> 经济状况、社会支持、居家环境、预立意愿</w:t>
            </w:r>
          </w:p>
          <w:p w14:paraId="5940C7F5">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val="en-US" w:eastAsia="zh-CN"/>
              </w:rPr>
              <w:t>3</w:t>
            </w:r>
            <w:r>
              <w:rPr>
                <w:rFonts w:hint="eastAsia" w:ascii="方正仿宋_GB2312" w:hAnsi="方正仿宋_GB2312" w:eastAsia="方正仿宋_GB2312" w:cs="方正仿宋_GB2312"/>
                <w:color w:val="auto"/>
                <w:kern w:val="0"/>
                <w:sz w:val="24"/>
                <w:highlight w:val="none"/>
                <w:lang w:eastAsia="zh-CN"/>
              </w:rPr>
              <w:t>）老年围手术期评估</w:t>
            </w:r>
          </w:p>
          <w:p w14:paraId="39663BDC">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围手术期评估和管理内容主要包括患者病史和系统回顾、相关体格检查、一般健康情况评估、认知功能状态、跌倒史、营养状况、目前使用药物、处理并优化可影响手术的慢性疾病、围手术风险综合评估、围手术期药物管理、器官功能的维护、营养支持、血栓与出血的管理等。</w:t>
            </w:r>
          </w:p>
          <w:p w14:paraId="18BAA27B">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老年围手术期评估包</w:t>
            </w:r>
            <w:r>
              <w:rPr>
                <w:rFonts w:hint="eastAsia" w:ascii="方正仿宋_GB2312" w:hAnsi="方正仿宋_GB2312" w:eastAsia="方正仿宋_GB2312" w:cs="方正仿宋_GB2312"/>
                <w:color w:val="auto"/>
                <w:kern w:val="0"/>
                <w:sz w:val="24"/>
                <w:highlight w:val="none"/>
                <w:lang w:val="en-US" w:eastAsia="zh-CN"/>
              </w:rPr>
              <w:t>含二项</w:t>
            </w:r>
            <w:r>
              <w:rPr>
                <w:rFonts w:hint="eastAsia" w:ascii="方正仿宋_GB2312" w:hAnsi="方正仿宋_GB2312" w:eastAsia="方正仿宋_GB2312" w:cs="方正仿宋_GB2312"/>
                <w:color w:val="auto"/>
                <w:kern w:val="0"/>
                <w:sz w:val="24"/>
                <w:highlight w:val="none"/>
                <w:lang w:eastAsia="zh-CN"/>
              </w:rPr>
              <w:t>指标：功能评估以及躯体功能评估</w:t>
            </w:r>
          </w:p>
          <w:p w14:paraId="7944E69D">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功能评估</w:t>
            </w:r>
            <w:r>
              <w:rPr>
                <w:rFonts w:hint="eastAsia" w:ascii="方正仿宋_GB2312" w:hAnsi="方正仿宋_GB2312" w:eastAsia="方正仿宋_GB2312" w:cs="方正仿宋_GB2312"/>
                <w:color w:val="auto"/>
                <w:kern w:val="0"/>
                <w:sz w:val="24"/>
                <w:highlight w:val="none"/>
                <w:lang w:val="en-US" w:eastAsia="zh-CN"/>
              </w:rPr>
              <w:t>包含十一项：</w:t>
            </w:r>
            <w:r>
              <w:rPr>
                <w:rFonts w:hint="eastAsia" w:ascii="方正仿宋_GB2312" w:hAnsi="方正仿宋_GB2312" w:eastAsia="方正仿宋_GB2312" w:cs="方正仿宋_GB2312"/>
                <w:color w:val="auto"/>
                <w:kern w:val="0"/>
                <w:sz w:val="24"/>
                <w:highlight w:val="none"/>
                <w:lang w:eastAsia="zh-CN"/>
              </w:rPr>
              <w:t>日常生活能力、认知功能、谵妄、抑郁、焦虑、吞咽障碍、营养不良、衰弱、跌倒、疼痛、睡眠障碍</w:t>
            </w:r>
          </w:p>
          <w:p w14:paraId="744C1ABC">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eastAsia="zh-CN"/>
              </w:rPr>
              <w:t>躯体功能评估</w:t>
            </w:r>
            <w:r>
              <w:rPr>
                <w:rFonts w:hint="eastAsia" w:ascii="方正仿宋_GB2312" w:hAnsi="方正仿宋_GB2312" w:eastAsia="方正仿宋_GB2312" w:cs="方正仿宋_GB2312"/>
                <w:color w:val="auto"/>
                <w:kern w:val="0"/>
                <w:sz w:val="24"/>
                <w:highlight w:val="none"/>
                <w:lang w:val="en-US" w:eastAsia="zh-CN"/>
              </w:rPr>
              <w:t>包含七项：</w:t>
            </w:r>
            <w:r>
              <w:rPr>
                <w:rFonts w:hint="eastAsia" w:ascii="方正仿宋_GB2312" w:hAnsi="方正仿宋_GB2312" w:eastAsia="方正仿宋_GB2312" w:cs="方正仿宋_GB2312"/>
                <w:color w:val="auto"/>
                <w:kern w:val="0"/>
                <w:sz w:val="24"/>
                <w:highlight w:val="none"/>
                <w:lang w:eastAsia="zh-CN"/>
              </w:rPr>
              <w:t>心脏功能、肺功能、脑卒中风险、肾功能、肝功能、血栓风险、出血风险</w:t>
            </w:r>
          </w:p>
          <w:p w14:paraId="477DD6A7">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CN"/>
              </w:rPr>
            </w:pPr>
            <w:r>
              <w:rPr>
                <w:rFonts w:hint="eastAsia" w:ascii="方正仿宋_GB2312" w:hAnsi="方正仿宋_GB2312" w:eastAsia="方正仿宋_GB2312" w:cs="方正仿宋_GB2312"/>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val="en-US" w:eastAsia="zh-CN"/>
              </w:rPr>
              <w:t>4</w:t>
            </w:r>
            <w:r>
              <w:rPr>
                <w:rFonts w:hint="eastAsia" w:ascii="方正仿宋_GB2312" w:hAnsi="方正仿宋_GB2312" w:eastAsia="方正仿宋_GB2312" w:cs="方正仿宋_GB2312"/>
                <w:color w:val="auto"/>
                <w:kern w:val="0"/>
                <w:sz w:val="24"/>
                <w:highlight w:val="none"/>
                <w:lang w:eastAsia="zh-CN"/>
              </w:rPr>
              <w:t>）老年综合评估后台管理系统</w:t>
            </w:r>
          </w:p>
          <w:p w14:paraId="43B52DBE">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eastAsia="zh-CN"/>
              </w:rPr>
              <w:t>后台管理系统对前端采集信息进行</w:t>
            </w:r>
            <w:r>
              <w:rPr>
                <w:rFonts w:hint="eastAsia" w:ascii="方正仿宋_GB2312" w:hAnsi="方正仿宋_GB2312" w:eastAsia="方正仿宋_GB2312" w:cs="方正仿宋_GB2312"/>
                <w:color w:val="auto"/>
                <w:kern w:val="0"/>
                <w:sz w:val="24"/>
                <w:highlight w:val="none"/>
                <w:lang w:val="en-US" w:eastAsia="zh-CN"/>
              </w:rPr>
              <w:t>统</w:t>
            </w:r>
            <w:r>
              <w:rPr>
                <w:rFonts w:hint="eastAsia" w:ascii="方正仿宋_GB2312" w:hAnsi="方正仿宋_GB2312" w:eastAsia="方正仿宋_GB2312" w:cs="方正仿宋_GB2312"/>
                <w:color w:val="auto"/>
                <w:kern w:val="0"/>
                <w:sz w:val="24"/>
                <w:highlight w:val="none"/>
                <w:lang w:eastAsia="zh-CN"/>
              </w:rPr>
              <w:t>一化收纳，包含</w:t>
            </w:r>
            <w:r>
              <w:rPr>
                <w:rFonts w:hint="eastAsia" w:ascii="方正仿宋_GB2312" w:hAnsi="方正仿宋_GB2312" w:eastAsia="方正仿宋_GB2312" w:cs="方正仿宋_GB2312"/>
                <w:color w:val="auto"/>
                <w:kern w:val="0"/>
                <w:sz w:val="24"/>
                <w:highlight w:val="none"/>
                <w:lang w:val="en-US" w:eastAsia="zh-CN"/>
              </w:rPr>
              <w:t>：</w:t>
            </w:r>
          </w:p>
          <w:p w14:paraId="59A78BA6">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人员管理:基于角色的人员管理:评估员、专家实时查看评估人员的评估情况。</w:t>
            </w:r>
          </w:p>
          <w:p w14:paraId="38B52C8B">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数据统计分析:评估信息实时汇总、统计，形成多层次、多维度的分析图表为战略决策、资源分配等方案提供客观数据支撑。并支持自定义报表满足院方业务需求，</w:t>
            </w:r>
            <w:r>
              <w:rPr>
                <w:rFonts w:hint="eastAsia" w:ascii="方正仿宋_GB2312" w:hAnsi="方正仿宋_GB2312" w:eastAsia="方正仿宋_GB2312" w:cs="方正仿宋_GB2312"/>
                <w:color w:val="auto"/>
                <w:kern w:val="0"/>
                <w:sz w:val="24"/>
                <w:highlight w:val="none"/>
                <w:lang w:eastAsia="zh-CN"/>
              </w:rPr>
              <w:t>原始脱敏数据excel导出。</w:t>
            </w:r>
          </w:p>
          <w:p w14:paraId="0939D0FA">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评估档案管理:标准健康档案格式评估结果按人汇总展示，保存每次评估结果实时更新的医生版和个人版报告。</w:t>
            </w:r>
          </w:p>
          <w:p w14:paraId="28424E38">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评估质量监管：单次评估用时和评估时间段评估条目前后逻辑关系记录评估现场照片。</w:t>
            </w:r>
          </w:p>
          <w:p w14:paraId="2D5BF5DC">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（5）老年综合评估报告</w:t>
            </w:r>
          </w:p>
          <w:p w14:paraId="387081B6">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根据评估数据生成定制化电子报告、防治计划（体现老年共病特点），支持在线打印、批量生成。</w:t>
            </w:r>
          </w:p>
          <w:p w14:paraId="6AEC0DF6">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（6）依据国家最新政策要求免费更新量化表。</w:t>
            </w:r>
          </w:p>
          <w:p w14:paraId="73E2EFD0">
            <w:pPr>
              <w:spacing w:line="400" w:lineRule="exact"/>
              <w:ind w:firstLine="240" w:firstLineChars="1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1</w:t>
            </w:r>
            <w:r>
              <w:rPr>
                <w:rFonts w:hint="eastAsia" w:ascii="方正仿宋_GB2312" w:hAnsi="方正仿宋_GB2312" w:eastAsia="方正仿宋_GB2312" w:cs="方正仿宋_GB2312"/>
                <w:color w:val="auto"/>
                <w:kern w:val="0"/>
                <w:sz w:val="24"/>
                <w:highlight w:val="none"/>
                <w:lang w:eastAsia="zh-Hans"/>
              </w:rPr>
              <w:t>、具体功能技术要求：</w:t>
            </w:r>
          </w:p>
          <w:p w14:paraId="2CC08AED">
            <w:pPr>
              <w:spacing w:line="400" w:lineRule="exact"/>
              <w:ind w:firstLine="0" w:firstLineChars="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b/>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eastAsia="zh-Hans"/>
              </w:rPr>
              <w:t>（1）评估系统具备审核机制，可根据医院需求进行数据权限范围，医生、护士可独立进行评估操作，并产生评估报告。然后由具备审核权限的账户（一般是医生）进行审核。审核对评估结果、干预措施无异议，填写审核意见，即评估报告正式生效。</w:t>
            </w:r>
          </w:p>
          <w:p w14:paraId="246FF1B2">
            <w:pPr>
              <w:spacing w:line="400" w:lineRule="exact"/>
              <w:ind w:firstLine="240" w:firstLineChars="1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（2）评估与量表：标准版评估量表：</w:t>
            </w:r>
          </w:p>
          <w:p w14:paraId="61200905">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功能评估：日常生活能力（ADL）：基本日常生活活动能力（BADL）、工具性日常生活活动能力（IADL）、移动平衡能力、理解/交流能力。</w:t>
            </w:r>
          </w:p>
          <w:p w14:paraId="2A188E80">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综合征评估：综合征评估：认知评估（MMSE、MoCA量表）、谵妄（CAM评定量表）、抑郁（PHQ-9、GDS-15量表）、焦虑（GAD-7量表、SAS自评量表）、吞咽障碍（EAT-10量表）、营养不良（MNA-SF量表）、肌少症（Sarc-CalF问卷）、躯体功能（SPPB量表、TUG试验）、衰弱（Frail量表）、跌倒（Morse评估量表）、尿失禁（ICI-Q-SF问卷表）、压疮（Braden评估表）、疼痛（表情评分法、数字评分法）、睡眠</w:t>
            </w:r>
            <w:r>
              <w:rPr>
                <w:rFonts w:hint="eastAsia" w:ascii="方正仿宋_GB2312" w:hAnsi="方正仿宋_GB2312" w:eastAsia="方正仿宋_GB2312" w:cs="方正仿宋_GB2312"/>
                <w:color w:val="auto"/>
                <w:kern w:val="0"/>
                <w:sz w:val="24"/>
                <w:highlight w:val="none"/>
                <w:lang w:val="en-US" w:eastAsia="zh-Hans"/>
              </w:rPr>
              <w:t>（</w:t>
            </w:r>
            <w:r>
              <w:rPr>
                <w:rFonts w:hint="eastAsia" w:ascii="方正仿宋_GB2312" w:hAnsi="方正仿宋_GB2312" w:eastAsia="方正仿宋_GB2312" w:cs="方正仿宋_GB2312"/>
                <w:color w:val="auto"/>
                <w:kern w:val="0"/>
                <w:sz w:val="24"/>
                <w:highlight w:val="none"/>
                <w:lang w:eastAsia="zh-Hans"/>
              </w:rPr>
              <w:t>匹兹堡睡眠质量指数（PSQI）</w:t>
            </w:r>
            <w:r>
              <w:rPr>
                <w:rFonts w:hint="eastAsia" w:ascii="方正仿宋_GB2312" w:hAnsi="方正仿宋_GB2312" w:eastAsia="方正仿宋_GB2312" w:cs="方正仿宋_GB2312"/>
                <w:color w:val="auto"/>
                <w:kern w:val="0"/>
                <w:sz w:val="24"/>
                <w:highlight w:val="none"/>
                <w:lang w:val="en-US" w:eastAsia="zh-Hans"/>
              </w:rPr>
              <w:t>）</w:t>
            </w:r>
            <w:r>
              <w:rPr>
                <w:rFonts w:hint="eastAsia" w:ascii="方正仿宋_GB2312" w:hAnsi="方正仿宋_GB2312" w:eastAsia="方正仿宋_GB2312" w:cs="方正仿宋_GB2312"/>
                <w:color w:val="auto"/>
                <w:kern w:val="0"/>
                <w:sz w:val="24"/>
                <w:highlight w:val="none"/>
                <w:lang w:eastAsia="zh-Hans"/>
              </w:rPr>
              <w:t>、感知觉评估、口腔问题评估</w:t>
            </w: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val="en-US" w:eastAsia="zh-CN"/>
              </w:rPr>
              <w:t>围手术期评估</w:t>
            </w:r>
            <w:r>
              <w:rPr>
                <w:rFonts w:hint="eastAsia" w:ascii="方正仿宋_GB2312" w:hAnsi="方正仿宋_GB2312" w:eastAsia="方正仿宋_GB2312" w:cs="方正仿宋_GB2312"/>
                <w:color w:val="auto"/>
                <w:kern w:val="0"/>
                <w:sz w:val="24"/>
                <w:highlight w:val="none"/>
                <w:lang w:eastAsia="zh-Hans"/>
              </w:rPr>
              <w:t>等。</w:t>
            </w:r>
          </w:p>
          <w:p w14:paraId="7E1106B7">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社会评估：经济状况、社会支持、居家环境、预立意愿。</w:t>
            </w:r>
          </w:p>
          <w:p w14:paraId="1B6980F5">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val="en-US" w:eastAsia="zh-Hans"/>
              </w:rPr>
              <w:t>（3）</w:t>
            </w:r>
            <w:r>
              <w:rPr>
                <w:rFonts w:hint="eastAsia" w:ascii="方正仿宋_GB2312" w:hAnsi="方正仿宋_GB2312" w:eastAsia="方正仿宋_GB2312" w:cs="方正仿宋_GB2312"/>
                <w:color w:val="auto"/>
                <w:kern w:val="0"/>
                <w:sz w:val="24"/>
                <w:highlight w:val="none"/>
                <w:lang w:eastAsia="zh-Hans"/>
              </w:rPr>
              <w:t>评估与量表：</w:t>
            </w:r>
            <w:r>
              <w:rPr>
                <w:rFonts w:hint="eastAsia" w:ascii="方正仿宋_GB2312" w:hAnsi="方正仿宋_GB2312" w:eastAsia="方正仿宋_GB2312" w:cs="方正仿宋_GB2312"/>
                <w:color w:val="auto"/>
                <w:kern w:val="0"/>
                <w:sz w:val="24"/>
                <w:highlight w:val="none"/>
                <w:lang w:val="en-US" w:eastAsia="zh-CN"/>
              </w:rPr>
              <w:t>围手术期</w:t>
            </w:r>
            <w:r>
              <w:rPr>
                <w:rFonts w:hint="eastAsia" w:ascii="方正仿宋_GB2312" w:hAnsi="方正仿宋_GB2312" w:eastAsia="方正仿宋_GB2312" w:cs="方正仿宋_GB2312"/>
                <w:color w:val="auto"/>
                <w:kern w:val="0"/>
                <w:sz w:val="24"/>
                <w:highlight w:val="none"/>
                <w:lang w:eastAsia="zh-Hans"/>
              </w:rPr>
              <w:t>评估量表：</w:t>
            </w:r>
          </w:p>
          <w:p w14:paraId="0ACB7C8F">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运动耐量（运动耐量评估表（METS））、心血管危险性（改良心脏危险指数评分表（RCRI）），（手术种类与危险程度分级）、心脏手术风险（</w:t>
            </w:r>
            <w:r>
              <w:rPr>
                <w:rFonts w:hint="eastAsia" w:ascii="方正仿宋_GB2312" w:hAnsi="方正仿宋_GB2312" w:eastAsia="方正仿宋_GB2312" w:cs="方正仿宋_GB2312"/>
                <w:color w:val="auto"/>
                <w:kern w:val="0"/>
                <w:sz w:val="24"/>
                <w:highlight w:val="none"/>
                <w:lang w:val="en-US" w:eastAsia="zh-Hans"/>
              </w:rPr>
              <w:t>CABG</w:t>
            </w:r>
            <w:r>
              <w:rPr>
                <w:rFonts w:hint="eastAsia" w:ascii="方正仿宋_GB2312" w:hAnsi="方正仿宋_GB2312" w:eastAsia="方正仿宋_GB2312" w:cs="方正仿宋_GB2312"/>
                <w:color w:val="auto"/>
                <w:kern w:val="0"/>
                <w:sz w:val="24"/>
                <w:highlight w:val="none"/>
                <w:lang w:val="en-US" w:eastAsia="zh-CN"/>
              </w:rPr>
              <w:t>手术风险评估）、肺部功能评估（BODE评分）、（外科患者呼吸风险评估（ARISCAT））、脑卒中风险评估（</w:t>
            </w:r>
            <w:r>
              <w:rPr>
                <w:rFonts w:hint="eastAsia" w:ascii="方正仿宋_GB2312" w:hAnsi="方正仿宋_GB2312" w:eastAsia="方正仿宋_GB2312" w:cs="方正仿宋_GB2312"/>
                <w:color w:val="auto"/>
                <w:kern w:val="0"/>
                <w:sz w:val="24"/>
                <w:highlight w:val="none"/>
                <w:lang w:val="en-US" w:eastAsia="zh-Hans"/>
              </w:rPr>
              <w:t>Essen脑卒中风险评分量表</w:t>
            </w:r>
            <w:r>
              <w:rPr>
                <w:rFonts w:hint="eastAsia" w:ascii="方正仿宋_GB2312" w:hAnsi="方正仿宋_GB2312" w:eastAsia="方正仿宋_GB2312" w:cs="方正仿宋_GB2312"/>
                <w:color w:val="auto"/>
                <w:kern w:val="0"/>
                <w:sz w:val="24"/>
                <w:highlight w:val="none"/>
                <w:lang w:val="en-US" w:eastAsia="zh-CN"/>
              </w:rPr>
              <w:t>（ESRS））、肾功能评估（CKD-EPI公式）、肝功能评估（Child-Pugh分级标准）、血栓风险评估（Caprini评分表）、出血风险评估（手术出血风险评估）</w:t>
            </w:r>
          </w:p>
          <w:p w14:paraId="6191B0BB">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Hans"/>
              </w:rPr>
            </w:pPr>
            <w:r>
              <w:rPr>
                <w:rFonts w:hint="eastAsia" w:ascii="方正仿宋_GB2312" w:hAnsi="方正仿宋_GB2312" w:eastAsia="方正仿宋_GB2312" w:cs="方正仿宋_GB2312"/>
                <w:color w:val="auto"/>
                <w:kern w:val="0"/>
                <w:sz w:val="24"/>
                <w:highlight w:val="none"/>
                <w:lang w:val="en-US" w:eastAsia="zh-Hans"/>
              </w:rPr>
              <w:t>（</w:t>
            </w:r>
            <w:r>
              <w:rPr>
                <w:rFonts w:hint="eastAsia" w:ascii="方正仿宋_GB2312" w:hAnsi="方正仿宋_GB2312" w:eastAsia="方正仿宋_GB2312" w:cs="方正仿宋_GB2312"/>
                <w:color w:val="auto"/>
                <w:kern w:val="0"/>
                <w:sz w:val="24"/>
                <w:highlight w:val="none"/>
                <w:lang w:val="en-US" w:eastAsia="zh-CN"/>
              </w:rPr>
              <w:t>4</w:t>
            </w:r>
            <w:r>
              <w:rPr>
                <w:rFonts w:hint="eastAsia" w:ascii="方正仿宋_GB2312" w:hAnsi="方正仿宋_GB2312" w:eastAsia="方正仿宋_GB2312" w:cs="方正仿宋_GB2312"/>
                <w:color w:val="auto"/>
                <w:kern w:val="0"/>
                <w:sz w:val="24"/>
                <w:highlight w:val="none"/>
                <w:lang w:val="en-US" w:eastAsia="zh-Hans"/>
              </w:rPr>
              <w:t>）评估与量表：</w:t>
            </w:r>
            <w:r>
              <w:rPr>
                <w:rFonts w:hint="eastAsia" w:ascii="方正仿宋_GB2312" w:hAnsi="方正仿宋_GB2312" w:eastAsia="方正仿宋_GB2312" w:cs="方正仿宋_GB2312"/>
                <w:color w:val="auto"/>
                <w:kern w:val="0"/>
                <w:sz w:val="24"/>
                <w:highlight w:val="none"/>
                <w:lang w:val="en-US" w:eastAsia="zh-CN"/>
              </w:rPr>
              <w:t>筛查版</w:t>
            </w:r>
            <w:r>
              <w:rPr>
                <w:rFonts w:hint="eastAsia" w:ascii="方正仿宋_GB2312" w:hAnsi="方正仿宋_GB2312" w:eastAsia="方正仿宋_GB2312" w:cs="方正仿宋_GB2312"/>
                <w:color w:val="auto"/>
                <w:kern w:val="0"/>
                <w:sz w:val="24"/>
                <w:highlight w:val="none"/>
                <w:lang w:val="en-US" w:eastAsia="zh-Hans"/>
              </w:rPr>
              <w:t>评估量表：</w:t>
            </w:r>
          </w:p>
          <w:p w14:paraId="01CB2D0B">
            <w:pPr>
              <w:spacing w:line="400" w:lineRule="exact"/>
              <w:ind w:firstLine="480" w:firstLineChars="200"/>
              <w:rPr>
                <w:rFonts w:hint="eastAsia"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val="en-US" w:eastAsia="zh-CN"/>
              </w:rPr>
              <w:t>视力、听力、多重用药、日常生活能力、移动平衡能力、</w:t>
            </w:r>
            <w:r>
              <w:rPr>
                <w:rFonts w:hint="eastAsia" w:ascii="方正仿宋_GB2312" w:hAnsi="方正仿宋_GB2312" w:eastAsia="方正仿宋_GB2312" w:cs="方正仿宋_GB2312"/>
                <w:color w:val="auto"/>
                <w:kern w:val="0"/>
                <w:sz w:val="24"/>
                <w:highlight w:val="none"/>
                <w:lang w:val="en-US" w:eastAsia="zh-Hans"/>
              </w:rPr>
              <w:t>跌倒</w:t>
            </w:r>
            <w:r>
              <w:rPr>
                <w:rFonts w:hint="eastAsia" w:ascii="方正仿宋_GB2312" w:hAnsi="方正仿宋_GB2312" w:eastAsia="方正仿宋_GB2312" w:cs="方正仿宋_GB2312"/>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val="en-US" w:eastAsia="zh-Hans"/>
              </w:rPr>
              <w:t>认知</w:t>
            </w:r>
            <w:r>
              <w:rPr>
                <w:rFonts w:hint="eastAsia" w:ascii="方正仿宋_GB2312" w:hAnsi="方正仿宋_GB2312" w:eastAsia="方正仿宋_GB2312" w:cs="方正仿宋_GB2312"/>
                <w:color w:val="auto"/>
                <w:kern w:val="0"/>
                <w:sz w:val="24"/>
                <w:highlight w:val="none"/>
                <w:lang w:val="en-US" w:eastAsia="zh-CN"/>
              </w:rPr>
              <w:t>功能、吞咽障碍、睡眠、</w:t>
            </w:r>
            <w:r>
              <w:rPr>
                <w:rFonts w:hint="eastAsia" w:ascii="方正仿宋_GB2312" w:hAnsi="方正仿宋_GB2312" w:eastAsia="方正仿宋_GB2312" w:cs="方正仿宋_GB2312"/>
                <w:color w:val="auto"/>
                <w:kern w:val="0"/>
                <w:sz w:val="24"/>
                <w:highlight w:val="none"/>
                <w:lang w:val="en-US" w:eastAsia="zh-Hans"/>
              </w:rPr>
              <w:t>营养不良</w:t>
            </w:r>
            <w:r>
              <w:rPr>
                <w:rFonts w:hint="eastAsia" w:ascii="方正仿宋_GB2312" w:hAnsi="方正仿宋_GB2312" w:eastAsia="方正仿宋_GB2312" w:cs="方正仿宋_GB2312"/>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val="en-US" w:eastAsia="zh-Hans"/>
              </w:rPr>
              <w:t>衰弱</w:t>
            </w:r>
            <w:r>
              <w:rPr>
                <w:rFonts w:hint="eastAsia" w:ascii="方正仿宋_GB2312" w:hAnsi="方正仿宋_GB2312" w:eastAsia="方正仿宋_GB2312" w:cs="方正仿宋_GB2312"/>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val="en-US" w:eastAsia="zh-Hans"/>
              </w:rPr>
              <w:t>肌少症</w:t>
            </w:r>
            <w:r>
              <w:rPr>
                <w:rFonts w:hint="eastAsia" w:ascii="方正仿宋_GB2312" w:hAnsi="方正仿宋_GB2312" w:eastAsia="方正仿宋_GB2312" w:cs="方正仿宋_GB2312"/>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val="en-US" w:eastAsia="zh-Hans"/>
              </w:rPr>
              <w:t>尿失禁</w:t>
            </w:r>
            <w:r>
              <w:rPr>
                <w:rFonts w:hint="eastAsia" w:ascii="方正仿宋_GB2312" w:hAnsi="方正仿宋_GB2312" w:eastAsia="方正仿宋_GB2312" w:cs="方正仿宋_GB2312"/>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val="en-US" w:eastAsia="zh-Hans"/>
              </w:rPr>
              <w:t>抑郁</w:t>
            </w:r>
            <w:r>
              <w:rPr>
                <w:rFonts w:hint="eastAsia" w:ascii="方正仿宋_GB2312" w:hAnsi="方正仿宋_GB2312" w:eastAsia="方正仿宋_GB2312" w:cs="方正仿宋_GB2312"/>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val="en-US" w:eastAsia="zh-Hans"/>
              </w:rPr>
              <w:t>焦虑</w:t>
            </w:r>
            <w:r>
              <w:rPr>
                <w:rFonts w:hint="eastAsia" w:ascii="方正仿宋_GB2312" w:hAnsi="方正仿宋_GB2312" w:eastAsia="方正仿宋_GB2312" w:cs="方正仿宋_GB2312"/>
                <w:color w:val="auto"/>
                <w:kern w:val="0"/>
                <w:sz w:val="24"/>
                <w:highlight w:val="none"/>
                <w:lang w:val="en-US" w:eastAsia="zh-CN"/>
              </w:rPr>
              <w:t>、便秘、</w:t>
            </w:r>
            <w:r>
              <w:rPr>
                <w:rFonts w:hint="eastAsia" w:ascii="方正仿宋_GB2312" w:hAnsi="方正仿宋_GB2312" w:eastAsia="方正仿宋_GB2312" w:cs="方正仿宋_GB2312"/>
                <w:color w:val="auto"/>
                <w:kern w:val="0"/>
                <w:sz w:val="24"/>
                <w:highlight w:val="none"/>
                <w:lang w:val="en-US" w:eastAsia="zh-Hans"/>
              </w:rPr>
              <w:t>疼痛</w:t>
            </w:r>
            <w:r>
              <w:rPr>
                <w:rFonts w:hint="eastAsia" w:ascii="方正仿宋_GB2312" w:hAnsi="方正仿宋_GB2312" w:eastAsia="方正仿宋_GB2312" w:cs="方正仿宋_GB2312"/>
                <w:color w:val="auto"/>
                <w:kern w:val="0"/>
                <w:sz w:val="24"/>
                <w:highlight w:val="none"/>
                <w:lang w:val="en-US" w:eastAsia="zh-CN"/>
              </w:rPr>
              <w:t>、</w:t>
            </w:r>
            <w:r>
              <w:rPr>
                <w:rFonts w:hint="eastAsia" w:ascii="方正仿宋_GB2312" w:hAnsi="方正仿宋_GB2312" w:eastAsia="方正仿宋_GB2312" w:cs="方正仿宋_GB2312"/>
                <w:color w:val="auto"/>
                <w:kern w:val="0"/>
                <w:sz w:val="24"/>
                <w:highlight w:val="none"/>
                <w:lang w:val="en-US" w:eastAsia="zh-Hans"/>
              </w:rPr>
              <w:t>压疮</w:t>
            </w:r>
            <w:r>
              <w:rPr>
                <w:rFonts w:hint="eastAsia" w:ascii="方正仿宋_GB2312" w:hAnsi="方正仿宋_GB2312" w:eastAsia="方正仿宋_GB2312" w:cs="方正仿宋_GB2312"/>
                <w:color w:val="auto"/>
                <w:kern w:val="0"/>
                <w:sz w:val="24"/>
                <w:highlight w:val="none"/>
                <w:lang w:val="en-US" w:eastAsia="zh-CN"/>
              </w:rPr>
              <w:t>、口腔、骨质疏松。</w:t>
            </w:r>
          </w:p>
          <w:p w14:paraId="16E566A3">
            <w:pPr>
              <w:numPr>
                <w:ilvl w:val="0"/>
                <w:numId w:val="0"/>
              </w:numPr>
              <w:spacing w:line="400" w:lineRule="exact"/>
              <w:ind w:left="427" w:leftChars="89" w:hanging="240" w:hangingChars="1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5</w:t>
            </w:r>
            <w:r>
              <w:rPr>
                <w:rFonts w:hint="eastAsia" w:ascii="方正仿宋_GB2312" w:hAnsi="方正仿宋_GB2312" w:eastAsia="方正仿宋_GB2312" w:cs="方正仿宋_GB2312"/>
                <w:color w:val="auto"/>
                <w:kern w:val="0"/>
                <w:sz w:val="24"/>
                <w:highlight w:val="none"/>
                <w:lang w:eastAsia="zh-Hans"/>
              </w:rPr>
              <w:t>）评估类型分为筛查、标准两种。可以选择先进行筛查评估，再进行标准评估，从而减少医护者的工作量；也可以直接进行标准评估。</w:t>
            </w:r>
          </w:p>
          <w:p w14:paraId="3F030330">
            <w:pPr>
              <w:spacing w:line="400" w:lineRule="exact"/>
              <w:ind w:firstLine="240" w:firstLineChars="1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6</w:t>
            </w:r>
            <w:r>
              <w:rPr>
                <w:rFonts w:hint="eastAsia" w:ascii="方正仿宋_GB2312" w:hAnsi="方正仿宋_GB2312" w:eastAsia="方正仿宋_GB2312" w:cs="方正仿宋_GB2312"/>
                <w:color w:val="auto"/>
                <w:kern w:val="0"/>
                <w:sz w:val="24"/>
                <w:highlight w:val="none"/>
                <w:lang w:eastAsia="zh-Hans"/>
              </w:rPr>
              <w:t>）具有院内管理端，可供桌面电脑端、Pad终端使用，满足多样的操作习惯。管理系统，内容包括患者管理、评估人员管理、评估（过程）管理、评估报告管理、网络检索与查询系统等。</w:t>
            </w:r>
            <w:bookmarkStart w:id="0" w:name="OLE_LINK6"/>
          </w:p>
          <w:bookmarkEnd w:id="0"/>
          <w:p w14:paraId="2A8EA61F">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7</w:t>
            </w:r>
            <w:r>
              <w:rPr>
                <w:rFonts w:hint="eastAsia" w:ascii="方正仿宋_GB2312" w:hAnsi="方正仿宋_GB2312" w:eastAsia="方正仿宋_GB2312" w:cs="方正仿宋_GB2312"/>
                <w:color w:val="auto"/>
                <w:kern w:val="0"/>
                <w:sz w:val="24"/>
                <w:highlight w:val="none"/>
                <w:lang w:eastAsia="zh-Hans"/>
              </w:rPr>
              <w:t>）可操作性和易用性：软件使用简单、操作方便，具有良好的操作界面，尽可能考虑业务的可拓展性。</w:t>
            </w:r>
          </w:p>
          <w:p w14:paraId="191B5388">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8</w:t>
            </w:r>
            <w:r>
              <w:rPr>
                <w:rFonts w:hint="eastAsia" w:ascii="方正仿宋_GB2312" w:hAnsi="方正仿宋_GB2312" w:eastAsia="方正仿宋_GB2312" w:cs="方正仿宋_GB2312"/>
                <w:color w:val="auto"/>
                <w:kern w:val="0"/>
                <w:sz w:val="24"/>
                <w:highlight w:val="none"/>
                <w:lang w:eastAsia="zh-Hans"/>
              </w:rPr>
              <w:t>）建立完善的干预措施级别，如：观察、科内干预、专科会诊等，辅助临床预防决策。</w:t>
            </w:r>
          </w:p>
          <w:p w14:paraId="7C4C7950">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9</w:t>
            </w:r>
            <w:r>
              <w:rPr>
                <w:rFonts w:hint="eastAsia" w:ascii="方正仿宋_GB2312" w:hAnsi="方正仿宋_GB2312" w:eastAsia="方正仿宋_GB2312" w:cs="方正仿宋_GB2312"/>
                <w:color w:val="auto"/>
                <w:kern w:val="0"/>
                <w:sz w:val="24"/>
                <w:highlight w:val="none"/>
                <w:lang w:eastAsia="zh-Hans"/>
              </w:rPr>
              <w:t>）展示全院患者列表。可以按照在院、最近在院、历史出院分类展示。可以按照姓名、科室、病区、住院号进行检索。</w:t>
            </w:r>
          </w:p>
          <w:p w14:paraId="64445748">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10</w:t>
            </w:r>
            <w:r>
              <w:rPr>
                <w:rFonts w:hint="eastAsia" w:ascii="方正仿宋_GB2312" w:hAnsi="方正仿宋_GB2312" w:eastAsia="方正仿宋_GB2312" w:cs="方正仿宋_GB2312"/>
                <w:color w:val="auto"/>
                <w:kern w:val="0"/>
                <w:sz w:val="24"/>
                <w:highlight w:val="none"/>
                <w:lang w:eastAsia="zh-Hans"/>
              </w:rPr>
              <w:t>）患者的风险等级，可以按照颜色显示、按照类别进行筛选。</w:t>
            </w:r>
          </w:p>
          <w:p w14:paraId="419C6983">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11</w:t>
            </w:r>
            <w:r>
              <w:rPr>
                <w:rFonts w:hint="eastAsia" w:ascii="方正仿宋_GB2312" w:hAnsi="方正仿宋_GB2312" w:eastAsia="方正仿宋_GB2312" w:cs="方正仿宋_GB2312"/>
                <w:color w:val="auto"/>
                <w:kern w:val="0"/>
                <w:sz w:val="24"/>
                <w:highlight w:val="none"/>
                <w:lang w:eastAsia="zh-Hans"/>
              </w:rPr>
              <w:t>）点击患者可以查看患者的评分列表。评分数据可以导出。</w:t>
            </w:r>
          </w:p>
          <w:p w14:paraId="4029ED61">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2</w:t>
            </w:r>
            <w:r>
              <w:rPr>
                <w:rFonts w:hint="eastAsia" w:ascii="方正仿宋_GB2312" w:hAnsi="方正仿宋_GB2312" w:eastAsia="方正仿宋_GB2312" w:cs="方正仿宋_GB2312"/>
                <w:color w:val="auto"/>
                <w:kern w:val="0"/>
                <w:sz w:val="24"/>
                <w:highlight w:val="none"/>
                <w:lang w:eastAsia="zh-Hans"/>
              </w:rPr>
              <w:t>）自动即时产生评估结论；自动即时生成评估报告。评分数据可以进行病历归档打印。</w:t>
            </w:r>
          </w:p>
          <w:p w14:paraId="548E3659">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3</w:t>
            </w:r>
            <w:r>
              <w:rPr>
                <w:rFonts w:hint="eastAsia" w:ascii="方正仿宋_GB2312" w:hAnsi="方正仿宋_GB2312" w:eastAsia="方正仿宋_GB2312" w:cs="方正仿宋_GB2312"/>
                <w:color w:val="auto"/>
                <w:kern w:val="0"/>
                <w:sz w:val="24"/>
                <w:highlight w:val="none"/>
                <w:lang w:eastAsia="zh-Hans"/>
              </w:rPr>
              <w:t>）展示在院患者评估记录列表，如：病床、姓名、评估时间、评分节点、评分等级、是否处理、在院天数、住院号、入院时间等。</w:t>
            </w:r>
          </w:p>
          <w:p w14:paraId="656BC5A9">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4</w:t>
            </w:r>
            <w:r>
              <w:rPr>
                <w:rFonts w:hint="eastAsia" w:ascii="方正仿宋_GB2312" w:hAnsi="方正仿宋_GB2312" w:eastAsia="方正仿宋_GB2312" w:cs="方正仿宋_GB2312"/>
                <w:color w:val="auto"/>
                <w:kern w:val="0"/>
                <w:sz w:val="24"/>
                <w:highlight w:val="none"/>
                <w:lang w:eastAsia="zh-Hans"/>
              </w:rPr>
              <w:t>）可导出所有患者评分数据为Excel文件。</w:t>
            </w:r>
          </w:p>
          <w:p w14:paraId="2AA54C81">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5</w:t>
            </w:r>
            <w:r>
              <w:rPr>
                <w:rFonts w:hint="eastAsia" w:ascii="方正仿宋_GB2312" w:hAnsi="方正仿宋_GB2312" w:eastAsia="方正仿宋_GB2312" w:cs="方正仿宋_GB2312"/>
                <w:color w:val="auto"/>
                <w:kern w:val="0"/>
                <w:sz w:val="24"/>
                <w:highlight w:val="none"/>
                <w:lang w:eastAsia="zh-Hans"/>
              </w:rPr>
              <w:t>）可点击查看患者评分详情、历史评估记录并打印。</w:t>
            </w:r>
          </w:p>
          <w:p w14:paraId="5104FA51">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6</w:t>
            </w:r>
            <w:r>
              <w:rPr>
                <w:rFonts w:hint="eastAsia" w:ascii="方正仿宋_GB2312" w:hAnsi="方正仿宋_GB2312" w:eastAsia="方正仿宋_GB2312" w:cs="方正仿宋_GB2312"/>
                <w:color w:val="auto"/>
                <w:kern w:val="0"/>
                <w:sz w:val="24"/>
                <w:highlight w:val="none"/>
                <w:lang w:eastAsia="zh-Hans"/>
              </w:rPr>
              <w:t>）具备指标内数据自动校验、计算以及根据逻辑控制项隐藏、置灰、跳转的功能。</w:t>
            </w:r>
          </w:p>
          <w:p w14:paraId="6655104D">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7</w:t>
            </w:r>
            <w:r>
              <w:rPr>
                <w:rFonts w:hint="eastAsia" w:ascii="方正仿宋_GB2312" w:hAnsi="方正仿宋_GB2312" w:eastAsia="方正仿宋_GB2312" w:cs="方正仿宋_GB2312"/>
                <w:color w:val="auto"/>
                <w:kern w:val="0"/>
                <w:sz w:val="24"/>
                <w:highlight w:val="none"/>
                <w:lang w:eastAsia="zh-Hans"/>
              </w:rPr>
              <w:t>）具备身份证拍照识别功能，并自动提取相关信息，以及其他关键字索引功能。</w:t>
            </w:r>
          </w:p>
          <w:p w14:paraId="0B43F678">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8</w:t>
            </w:r>
            <w:r>
              <w:rPr>
                <w:rFonts w:hint="eastAsia" w:ascii="方正仿宋_GB2312" w:hAnsi="方正仿宋_GB2312" w:eastAsia="方正仿宋_GB2312" w:cs="方正仿宋_GB2312"/>
                <w:color w:val="auto"/>
                <w:kern w:val="0"/>
                <w:sz w:val="24"/>
                <w:highlight w:val="none"/>
                <w:lang w:eastAsia="zh-Hans"/>
              </w:rPr>
              <w:t>）支持评估过程暂存，退出后下次继续评估不中断。</w:t>
            </w:r>
          </w:p>
          <w:p w14:paraId="391157C6">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（1</w:t>
            </w:r>
            <w:r>
              <w:rPr>
                <w:rFonts w:hint="eastAsia" w:ascii="方正仿宋_GB2312" w:hAnsi="方正仿宋_GB2312" w:eastAsia="方正仿宋_GB2312" w:cs="方正仿宋_GB2312"/>
                <w:color w:val="auto"/>
                <w:kern w:val="0"/>
                <w:sz w:val="24"/>
                <w:highlight w:val="none"/>
                <w:lang w:val="en-US" w:eastAsia="zh-CN"/>
              </w:rPr>
              <w:t>9</w:t>
            </w:r>
            <w:r>
              <w:rPr>
                <w:rFonts w:hint="eastAsia" w:ascii="方正仿宋_GB2312" w:hAnsi="方正仿宋_GB2312" w:eastAsia="方正仿宋_GB2312" w:cs="方正仿宋_GB2312"/>
                <w:color w:val="auto"/>
                <w:kern w:val="0"/>
                <w:sz w:val="24"/>
                <w:highlight w:val="none"/>
                <w:lang w:eastAsia="zh-Hans"/>
              </w:rPr>
              <w:t>）系统提供评估相关文档和视频，评估细节标注。</w:t>
            </w:r>
          </w:p>
          <w:p w14:paraId="3B00C31F">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20</w:t>
            </w:r>
            <w:r>
              <w:rPr>
                <w:rFonts w:hint="eastAsia" w:ascii="方正仿宋_GB2312" w:hAnsi="方正仿宋_GB2312" w:eastAsia="方正仿宋_GB2312" w:cs="方正仿宋_GB2312"/>
                <w:color w:val="auto"/>
                <w:kern w:val="0"/>
                <w:sz w:val="24"/>
                <w:highlight w:val="none"/>
                <w:lang w:eastAsia="zh-Hans"/>
              </w:rPr>
              <w:t>）具备评估数据在线统计分析，也可支持数据需脱敏后批量导出数据、分析图等用于医疗及科研使用。</w:t>
            </w:r>
          </w:p>
          <w:p w14:paraId="5CB78323">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w:t>
            </w:r>
            <w:r>
              <w:rPr>
                <w:rFonts w:hint="eastAsia" w:ascii="方正仿宋_GB2312" w:hAnsi="方正仿宋_GB2312" w:eastAsia="方正仿宋_GB2312" w:cs="方正仿宋_GB2312"/>
                <w:color w:val="auto"/>
                <w:kern w:val="0"/>
                <w:sz w:val="24"/>
                <w:highlight w:val="none"/>
                <w:lang w:val="en-US" w:eastAsia="zh-CN"/>
              </w:rPr>
              <w:t>21</w:t>
            </w:r>
            <w:r>
              <w:rPr>
                <w:rFonts w:hint="eastAsia" w:ascii="方正仿宋_GB2312" w:hAnsi="方正仿宋_GB2312" w:eastAsia="方正仿宋_GB2312" w:cs="方正仿宋_GB2312"/>
                <w:color w:val="auto"/>
                <w:kern w:val="0"/>
                <w:sz w:val="24"/>
                <w:highlight w:val="none"/>
                <w:lang w:eastAsia="zh-Hans"/>
              </w:rPr>
              <w:t>）支持老年综合评估医联体模式，支持医联体上线及之间的机构管理，数据共享和标准化管理。</w:t>
            </w:r>
          </w:p>
          <w:p w14:paraId="3B1FC5F3">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（2</w:t>
            </w:r>
            <w:r>
              <w:rPr>
                <w:rFonts w:hint="eastAsia" w:ascii="方正仿宋_GB2312" w:hAnsi="方正仿宋_GB2312" w:eastAsia="方正仿宋_GB2312" w:cs="方正仿宋_GB2312"/>
                <w:color w:val="auto"/>
                <w:kern w:val="0"/>
                <w:sz w:val="24"/>
                <w:highlight w:val="none"/>
                <w:lang w:val="en-US" w:eastAsia="zh-CN"/>
              </w:rPr>
              <w:t>2</w:t>
            </w:r>
            <w:r>
              <w:rPr>
                <w:rFonts w:hint="eastAsia" w:ascii="方正仿宋_GB2312" w:hAnsi="方正仿宋_GB2312" w:eastAsia="方正仿宋_GB2312" w:cs="方正仿宋_GB2312"/>
                <w:color w:val="auto"/>
                <w:kern w:val="0"/>
                <w:sz w:val="24"/>
                <w:highlight w:val="none"/>
                <w:lang w:eastAsia="zh-Hans"/>
              </w:rPr>
              <w:t>）有专业老年医学背景或从事老年医学专业技术研究，能支撑系统医学评估模型、评估内容及评估量表的持续迭代、升级。有能力根据采购人需求，配置医学量表和医学模型。能够及时、准确、动态地更新；提供信息资源的共享和传递。</w:t>
            </w:r>
          </w:p>
          <w:p w14:paraId="12B549DA">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eastAsia="zh-Hans"/>
              </w:rPr>
              <w:t>（2</w:t>
            </w:r>
            <w:r>
              <w:rPr>
                <w:rFonts w:hint="eastAsia" w:ascii="方正仿宋_GB2312" w:hAnsi="方正仿宋_GB2312" w:eastAsia="方正仿宋_GB2312" w:cs="方正仿宋_GB2312"/>
                <w:color w:val="auto"/>
                <w:kern w:val="0"/>
                <w:sz w:val="24"/>
                <w:highlight w:val="none"/>
                <w:lang w:val="en-US" w:eastAsia="zh-CN"/>
              </w:rPr>
              <w:t>3</w:t>
            </w:r>
            <w:r>
              <w:rPr>
                <w:rFonts w:hint="eastAsia" w:ascii="方正仿宋_GB2312" w:hAnsi="方正仿宋_GB2312" w:eastAsia="方正仿宋_GB2312" w:cs="方正仿宋_GB2312"/>
                <w:color w:val="auto"/>
                <w:kern w:val="0"/>
                <w:sz w:val="24"/>
                <w:highlight w:val="none"/>
                <w:lang w:eastAsia="zh-Hans"/>
              </w:rPr>
              <w:t>）接口</w:t>
            </w:r>
            <w:r>
              <w:rPr>
                <w:rFonts w:hint="eastAsia" w:ascii="方正仿宋_GB2312" w:hAnsi="方正仿宋_GB2312" w:eastAsia="方正仿宋_GB2312" w:cs="方正仿宋_GB2312"/>
                <w:color w:val="auto"/>
                <w:kern w:val="0"/>
                <w:sz w:val="24"/>
                <w:highlight w:val="none"/>
                <w:lang w:val="en-US" w:eastAsia="zh-CN"/>
              </w:rPr>
              <w:t>要求</w:t>
            </w:r>
          </w:p>
          <w:p w14:paraId="6A78ED70">
            <w:pPr>
              <w:spacing w:line="400" w:lineRule="exact"/>
              <w:ind w:firstLine="480" w:firstLineChars="200"/>
              <w:rPr>
                <w:rFonts w:hint="eastAsia" w:ascii="方正仿宋_GB2312" w:hAnsi="方正仿宋_GB2312" w:eastAsia="方正仿宋_GB2312" w:cs="方正仿宋_GB2312"/>
                <w:color w:val="auto"/>
                <w:kern w:val="0"/>
                <w:sz w:val="24"/>
                <w:highlight w:val="none"/>
                <w:lang w:eastAsia="zh-Hans"/>
              </w:rPr>
            </w:pPr>
            <w:r>
              <w:rPr>
                <w:rFonts w:hint="eastAsia" w:ascii="方正仿宋_GB2312" w:hAnsi="方正仿宋_GB2312" w:eastAsia="方正仿宋_GB2312" w:cs="方正仿宋_GB2312"/>
                <w:color w:val="auto"/>
                <w:kern w:val="0"/>
                <w:sz w:val="24"/>
                <w:highlight w:val="none"/>
                <w:lang w:val="en-US" w:eastAsia="zh-CN"/>
              </w:rPr>
              <w:t>报价</w:t>
            </w:r>
            <w:r>
              <w:rPr>
                <w:rFonts w:hint="eastAsia" w:ascii="方正仿宋_GB2312" w:hAnsi="方正仿宋_GB2312" w:eastAsia="方正仿宋_GB2312" w:cs="方正仿宋_GB2312"/>
                <w:color w:val="auto"/>
                <w:kern w:val="0"/>
                <w:sz w:val="24"/>
                <w:highlight w:val="none"/>
                <w:lang w:eastAsia="zh-Hans"/>
              </w:rPr>
              <w:t>含</w:t>
            </w:r>
            <w:r>
              <w:rPr>
                <w:rFonts w:hint="eastAsia" w:ascii="方正仿宋_GB2312" w:hAnsi="方正仿宋_GB2312" w:eastAsia="方正仿宋_GB2312" w:cs="方正仿宋_GB2312"/>
                <w:color w:val="auto"/>
                <w:kern w:val="0"/>
                <w:sz w:val="24"/>
                <w:highlight w:val="none"/>
                <w:lang w:val="en-US" w:eastAsia="zh-CN"/>
              </w:rPr>
              <w:t>各类接口费用（包含但</w:t>
            </w:r>
            <w:r>
              <w:rPr>
                <w:rFonts w:hint="eastAsia" w:ascii="方正仿宋_GB2312" w:hAnsi="方正仿宋_GB2312" w:eastAsia="方正仿宋_GB2312" w:cs="方正仿宋_GB2312"/>
                <w:color w:val="auto"/>
                <w:kern w:val="0"/>
                <w:sz w:val="24"/>
                <w:highlight w:val="none"/>
                <w:lang w:eastAsia="zh-Hans"/>
              </w:rPr>
              <w:t>不限于HIS、集成平台、银医通服务号、健康云服务号</w:t>
            </w: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eastAsia="zh-Hans"/>
              </w:rPr>
              <w:t>移动端查询报告）</w:t>
            </w:r>
          </w:p>
          <w:p w14:paraId="0856428F">
            <w:pPr>
              <w:spacing w:line="400" w:lineRule="exact"/>
              <w:ind w:firstLine="480" w:firstLineChars="200"/>
              <w:rPr>
                <w:rFonts w:hint="default" w:ascii="方正仿宋_GB2312" w:hAnsi="方正仿宋_GB2312" w:eastAsia="方正仿宋_GB2312" w:cs="方正仿宋_GB2312"/>
                <w:color w:val="auto"/>
                <w:kern w:val="0"/>
                <w:sz w:val="24"/>
                <w:highlight w:val="none"/>
                <w:lang w:val="en-US" w:eastAsia="zh-CN"/>
              </w:rPr>
            </w:pPr>
            <w:r>
              <w:rPr>
                <w:rFonts w:hint="eastAsia" w:ascii="方正仿宋_GB2312" w:hAnsi="方正仿宋_GB2312" w:eastAsia="方正仿宋_GB2312" w:cs="方正仿宋_GB2312"/>
                <w:color w:val="auto"/>
                <w:kern w:val="0"/>
                <w:sz w:val="24"/>
                <w:highlight w:val="none"/>
                <w:lang w:eastAsia="zh-CN"/>
              </w:rPr>
              <w:t>（</w:t>
            </w:r>
            <w:r>
              <w:rPr>
                <w:rFonts w:hint="eastAsia" w:ascii="方正仿宋_GB2312" w:hAnsi="方正仿宋_GB2312" w:eastAsia="方正仿宋_GB2312" w:cs="方正仿宋_GB2312"/>
                <w:color w:val="auto"/>
                <w:kern w:val="0"/>
                <w:sz w:val="24"/>
                <w:highlight w:val="none"/>
                <w:lang w:val="en-US" w:eastAsia="zh-CN"/>
              </w:rPr>
              <w:t>24</w:t>
            </w:r>
            <w:r>
              <w:rPr>
                <w:rFonts w:hint="eastAsia" w:ascii="方正仿宋_GB2312" w:hAnsi="方正仿宋_GB2312" w:eastAsia="方正仿宋_GB2312" w:cs="方正仿宋_GB2312"/>
                <w:color w:val="auto"/>
                <w:kern w:val="0"/>
                <w:sz w:val="24"/>
                <w:highlight w:val="none"/>
                <w:lang w:eastAsia="zh-CN"/>
              </w:rPr>
              <w:t>）维保期：≥</w:t>
            </w:r>
            <w:r>
              <w:rPr>
                <w:rFonts w:hint="eastAsia" w:ascii="方正仿宋_GB2312" w:hAnsi="方正仿宋_GB2312" w:eastAsia="方正仿宋_GB2312" w:cs="方正仿宋_GB2312"/>
                <w:color w:val="auto"/>
                <w:kern w:val="0"/>
                <w:sz w:val="24"/>
                <w:highlight w:val="none"/>
                <w:lang w:val="en-US" w:eastAsia="zh-CN"/>
              </w:rPr>
              <w:t>3年</w:t>
            </w:r>
          </w:p>
        </w:tc>
      </w:tr>
    </w:tbl>
    <w:p w14:paraId="08BAD7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方正仿宋_GB2312" w:hAnsi="方正仿宋_GB2312" w:eastAsia="方正仿宋_GB2312" w:cs="方正仿宋_GB2312"/>
          <w:b/>
          <w:bCs/>
          <w:color w:val="auto"/>
          <w:spacing w:val="9"/>
          <w:sz w:val="24"/>
          <w:szCs w:val="24"/>
          <w:highlight w:val="none"/>
          <w:lang w:val="en-US" w:eastAsia="zh-CN"/>
        </w:rPr>
      </w:pPr>
      <w:bookmarkStart w:id="1" w:name="_Toc19481"/>
    </w:p>
    <w:bookmarkEnd w:id="1"/>
    <w:p w14:paraId="4A015B46">
      <w:pPr>
        <w:keepNext w:val="0"/>
        <w:keepLines w:val="0"/>
        <w:widowControl/>
        <w:numPr>
          <w:ilvl w:val="0"/>
          <w:numId w:val="0"/>
        </w:numPr>
        <w:suppressLineNumbers w:val="0"/>
        <w:kinsoku w:val="0"/>
        <w:autoSpaceDE w:val="0"/>
        <w:autoSpaceDN w:val="0"/>
        <w:adjustRightInd w:val="0"/>
        <w:snapToGrid w:val="0"/>
        <w:spacing w:line="360" w:lineRule="auto"/>
        <w:jc w:val="left"/>
        <w:textAlignment w:val="baseline"/>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bidi="ar"/>
        </w:rPr>
        <w:t xml:space="preserve">三、商务条款 </w:t>
      </w:r>
    </w:p>
    <w:p w14:paraId="511A0B8D">
      <w:pPr>
        <w:keepNext w:val="0"/>
        <w:keepLines w:val="0"/>
        <w:widowControl/>
        <w:numPr>
          <w:ilvl w:val="0"/>
          <w:numId w:val="0"/>
        </w:numPr>
        <w:suppressLineNumbers w:val="0"/>
        <w:kinsoku w:val="0"/>
        <w:autoSpaceDE w:val="0"/>
        <w:autoSpaceDN w:val="0"/>
        <w:adjustRightInd w:val="0"/>
        <w:snapToGrid w:val="0"/>
        <w:spacing w:line="360" w:lineRule="auto"/>
        <w:jc w:val="left"/>
        <w:textAlignment w:val="baseline"/>
        <w:rPr>
          <w:rFonts w:hint="eastAsia" w:ascii="仿宋" w:hAnsi="仿宋" w:eastAsia="仿宋" w:cs="仿宋"/>
          <w:color w:val="auto"/>
          <w:spacing w:val="0"/>
          <w:sz w:val="32"/>
          <w:szCs w:val="32"/>
          <w:highlight w:val="none"/>
          <w:lang w:bidi="ar"/>
        </w:rPr>
      </w:pPr>
      <w:r>
        <w:rPr>
          <w:rFonts w:hint="eastAsia" w:ascii="仿宋" w:hAnsi="仿宋" w:eastAsia="仿宋" w:cs="仿宋"/>
          <w:color w:val="auto"/>
          <w:kern w:val="2"/>
          <w:sz w:val="32"/>
          <w:szCs w:val="32"/>
          <w:highlight w:val="none"/>
          <w:lang w:val="en-US" w:eastAsia="zh-CN" w:bidi="ar"/>
        </w:rPr>
        <w:t>1.维保期：产品维保期自采购方验收合格确认无任何质量问题（含软硬件）并签字确认之日起3</w:t>
      </w:r>
      <w:r>
        <w:rPr>
          <w:rFonts w:hint="eastAsia" w:ascii="仿宋" w:hAnsi="仿宋" w:eastAsia="仿宋" w:cs="仿宋"/>
          <w:color w:val="auto"/>
          <w:sz w:val="32"/>
          <w:szCs w:val="32"/>
          <w:highlight w:val="none"/>
          <w:lang w:bidi="ar"/>
        </w:rPr>
        <w:t>年</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kern w:val="2"/>
          <w:sz w:val="32"/>
          <w:szCs w:val="32"/>
          <w:highlight w:val="none"/>
          <w:lang w:val="en-US" w:eastAsia="zh-CN" w:bidi="ar"/>
        </w:rPr>
        <w:t>，同时提供合同总价10%的履约保函。</w:t>
      </w:r>
      <w:r>
        <w:rPr>
          <w:rFonts w:hint="eastAsia" w:ascii="仿宋" w:hAnsi="仿宋" w:eastAsia="仿宋" w:cs="仿宋"/>
          <w:color w:val="auto"/>
          <w:spacing w:val="0"/>
          <w:sz w:val="32"/>
          <w:szCs w:val="32"/>
          <w:highlight w:val="none"/>
          <w:lang w:bidi="ar"/>
        </w:rPr>
        <w:t>超过</w:t>
      </w:r>
      <w:r>
        <w:rPr>
          <w:rFonts w:hint="eastAsia" w:ascii="仿宋" w:hAnsi="仿宋" w:eastAsia="仿宋" w:cs="仿宋"/>
          <w:color w:val="auto"/>
          <w:spacing w:val="0"/>
          <w:sz w:val="32"/>
          <w:szCs w:val="32"/>
          <w:highlight w:val="none"/>
          <w:lang w:eastAsia="zh-CN" w:bidi="ar"/>
        </w:rPr>
        <w:t>维保</w:t>
      </w:r>
      <w:r>
        <w:rPr>
          <w:rFonts w:hint="eastAsia" w:ascii="仿宋" w:hAnsi="仿宋" w:eastAsia="仿宋" w:cs="仿宋"/>
          <w:color w:val="auto"/>
          <w:spacing w:val="0"/>
          <w:sz w:val="32"/>
          <w:szCs w:val="32"/>
          <w:highlight w:val="none"/>
          <w:lang w:bidi="ar"/>
        </w:rPr>
        <w:t>期后，软件维保费每年按</w:t>
      </w:r>
      <w:r>
        <w:rPr>
          <w:rFonts w:hint="eastAsia" w:ascii="仿宋" w:hAnsi="仿宋" w:eastAsia="仿宋" w:cs="仿宋"/>
          <w:color w:val="auto"/>
          <w:spacing w:val="0"/>
          <w:sz w:val="32"/>
          <w:szCs w:val="32"/>
          <w:highlight w:val="none"/>
          <w:lang w:val="en-US" w:eastAsia="zh-CN" w:bidi="ar"/>
        </w:rPr>
        <w:t>不高于</w:t>
      </w:r>
      <w:r>
        <w:rPr>
          <w:rFonts w:hint="eastAsia" w:ascii="仿宋" w:hAnsi="仿宋" w:eastAsia="仿宋" w:cs="仿宋"/>
          <w:color w:val="auto"/>
          <w:spacing w:val="0"/>
          <w:sz w:val="32"/>
          <w:szCs w:val="32"/>
          <w:highlight w:val="none"/>
          <w:lang w:bidi="ar"/>
        </w:rPr>
        <w:t>合同</w:t>
      </w:r>
      <w:r>
        <w:rPr>
          <w:rFonts w:hint="eastAsia" w:ascii="仿宋" w:hAnsi="仿宋" w:eastAsia="仿宋" w:cs="仿宋"/>
          <w:color w:val="auto"/>
          <w:spacing w:val="0"/>
          <w:sz w:val="32"/>
          <w:szCs w:val="32"/>
          <w:highlight w:val="none"/>
          <w:lang w:val="en-US" w:eastAsia="zh-CN" w:bidi="ar"/>
        </w:rPr>
        <w:t>中标价的</w:t>
      </w:r>
      <w:r>
        <w:rPr>
          <w:rFonts w:hint="eastAsia" w:ascii="仿宋" w:hAnsi="仿宋" w:eastAsia="仿宋" w:cs="仿宋"/>
          <w:color w:val="auto"/>
          <w:spacing w:val="0"/>
          <w:sz w:val="32"/>
          <w:szCs w:val="32"/>
          <w:highlight w:val="none"/>
          <w:lang w:bidi="ar"/>
        </w:rPr>
        <w:t>8%</w:t>
      </w:r>
      <w:r>
        <w:rPr>
          <w:rFonts w:hint="eastAsia" w:ascii="仿宋" w:hAnsi="仿宋" w:eastAsia="仿宋" w:cs="仿宋"/>
          <w:color w:val="auto"/>
          <w:spacing w:val="0"/>
          <w:sz w:val="32"/>
          <w:szCs w:val="32"/>
          <w:highlight w:val="none"/>
          <w:lang w:val="en-US" w:eastAsia="zh-CN" w:bidi="ar"/>
        </w:rPr>
        <w:t>收取</w:t>
      </w:r>
      <w:r>
        <w:rPr>
          <w:rFonts w:hint="eastAsia" w:ascii="仿宋" w:hAnsi="仿宋" w:eastAsia="仿宋" w:cs="仿宋"/>
          <w:color w:val="auto"/>
          <w:spacing w:val="0"/>
          <w:sz w:val="32"/>
          <w:szCs w:val="32"/>
          <w:highlight w:val="none"/>
          <w:lang w:bidi="ar"/>
        </w:rPr>
        <w:t>。</w:t>
      </w:r>
    </w:p>
    <w:p w14:paraId="1A7BC356">
      <w:pPr>
        <w:keepNext w:val="0"/>
        <w:keepLines w:val="0"/>
        <w:widowControl/>
        <w:numPr>
          <w:ilvl w:val="0"/>
          <w:numId w:val="0"/>
        </w:numPr>
        <w:suppressLineNumbers w:val="0"/>
        <w:kinsoku w:val="0"/>
        <w:autoSpaceDE w:val="0"/>
        <w:autoSpaceDN w:val="0"/>
        <w:adjustRightInd w:val="0"/>
        <w:snapToGrid w:val="0"/>
        <w:spacing w:line="360" w:lineRule="auto"/>
        <w:jc w:val="left"/>
        <w:textAlignment w:val="baseline"/>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
        </w:rPr>
        <w:t xml:space="preserve">2．交付期、交付方式及交付地点 </w:t>
      </w:r>
    </w:p>
    <w:p w14:paraId="16C7D6DC">
      <w:pPr>
        <w:keepNext w:val="0"/>
        <w:keepLines w:val="0"/>
        <w:widowControl/>
        <w:numPr>
          <w:ilvl w:val="0"/>
          <w:numId w:val="0"/>
        </w:numPr>
        <w:suppressLineNumbers w:val="0"/>
        <w:kinsoku w:val="0"/>
        <w:autoSpaceDE w:val="0"/>
        <w:autoSpaceDN w:val="0"/>
        <w:adjustRightInd w:val="0"/>
        <w:snapToGrid w:val="0"/>
        <w:spacing w:line="360" w:lineRule="auto"/>
        <w:jc w:val="left"/>
        <w:textAlignment w:val="baseline"/>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
        </w:rPr>
        <w:t xml:space="preserve">2.1 交付期：自签订合同之日起45个日历日内完成部署，并能正常投入使用。超过合同规定工期按每个日历日 500 元进行扣除。 </w:t>
      </w:r>
    </w:p>
    <w:p w14:paraId="7A559C95">
      <w:pPr>
        <w:keepNext w:val="0"/>
        <w:keepLines w:val="0"/>
        <w:widowControl/>
        <w:numPr>
          <w:ilvl w:val="0"/>
          <w:numId w:val="0"/>
        </w:numPr>
        <w:suppressLineNumbers w:val="0"/>
        <w:kinsoku w:val="0"/>
        <w:autoSpaceDE w:val="0"/>
        <w:autoSpaceDN w:val="0"/>
        <w:adjustRightInd w:val="0"/>
        <w:snapToGrid w:val="0"/>
        <w:spacing w:line="360" w:lineRule="auto"/>
        <w:jc w:val="left"/>
        <w:textAlignment w:val="baseline"/>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
        </w:rPr>
        <w:t>2.3 交付地点：新疆医科大学第七附属医院。</w:t>
      </w:r>
    </w:p>
    <w:p w14:paraId="706A8836">
      <w:pPr>
        <w:keepNext w:val="0"/>
        <w:keepLines w:val="0"/>
        <w:widowControl/>
        <w:numPr>
          <w:ilvl w:val="0"/>
          <w:numId w:val="0"/>
        </w:numPr>
        <w:suppressLineNumbers w:val="0"/>
        <w:kinsoku w:val="0"/>
        <w:autoSpaceDE w:val="0"/>
        <w:autoSpaceDN w:val="0"/>
        <w:adjustRightInd w:val="0"/>
        <w:snapToGrid w:val="0"/>
        <w:spacing w:line="360" w:lineRule="auto"/>
        <w:jc w:val="left"/>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
        </w:rPr>
        <w:t>3．付款方式 ：合同签订后支付合同金额30%，项目实施完毕，并通过护理部、老年医学科、信息管理科验收合格后支付合同金额70%。</w:t>
      </w:r>
    </w:p>
    <w:p w14:paraId="7D4C7757">
      <w:pPr>
        <w:widowControl/>
        <w:numPr>
          <w:ilvl w:val="0"/>
          <w:numId w:val="0"/>
        </w:numPr>
        <w:kinsoku w:val="0"/>
        <w:autoSpaceDE w:val="0"/>
        <w:autoSpaceDN w:val="0"/>
        <w:snapToGrid w:val="0"/>
        <w:spacing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4.运行保障和维护要求 </w:t>
      </w:r>
    </w:p>
    <w:p w14:paraId="15DB44A9">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投标方安排具备运行保障能力的工程师提供后台技术支撑服务，前台无法处理的事件及时交于后台处理。提供7*24小时服务，紧急事件应 0.5 小时做出响应，并在1小时内给予解决；一般事件应在1小时内做出响应和安排，并在4小时内给予解决。如事件处理需赴现场，投标方应在采购方要求的时限内安排工程师到达现场解决。</w:t>
      </w:r>
    </w:p>
    <w:p w14:paraId="16EBAEEE">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69E73306">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297562A7">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6E6895B9">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369AA3FF">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04031375">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63691F83">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011F155E">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7B5C7DA8">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07B88E5F">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0CBB38AC">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539547B1">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7B12BBE1">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764335FF">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069A0984">
      <w:pPr>
        <w:widowControl/>
        <w:numPr>
          <w:ilvl w:val="0"/>
          <w:numId w:val="0"/>
        </w:numPr>
        <w:kinsoku w:val="0"/>
        <w:autoSpaceDE w:val="0"/>
        <w:autoSpaceDN w:val="0"/>
        <w:snapToGrid w:val="0"/>
        <w:spacing w:line="360" w:lineRule="auto"/>
        <w:ind w:firstLine="640" w:firstLineChars="200"/>
        <w:rPr>
          <w:rFonts w:hint="eastAsia" w:ascii="仿宋" w:hAnsi="仿宋" w:eastAsia="仿宋" w:cs="仿宋"/>
          <w:color w:val="auto"/>
          <w:sz w:val="32"/>
          <w:szCs w:val="32"/>
          <w:highlight w:val="none"/>
          <w:lang w:val="en-US" w:eastAsia="zh-CN"/>
        </w:rPr>
      </w:pPr>
    </w:p>
    <w:p w14:paraId="14F45F15">
      <w:pPr>
        <w:widowControl/>
        <w:numPr>
          <w:ilvl w:val="0"/>
          <w:numId w:val="0"/>
        </w:numPr>
        <w:kinsoku w:val="0"/>
        <w:autoSpaceDE w:val="0"/>
        <w:autoSpaceDN w:val="0"/>
        <w:snapToGrid w:val="0"/>
        <w:spacing w:line="360" w:lineRule="auto"/>
        <w:rPr>
          <w:rFonts w:hint="eastAsia" w:ascii="仿宋" w:hAnsi="仿宋" w:eastAsia="仿宋" w:cs="仿宋"/>
          <w:color w:val="auto"/>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embedRegular r:id="rId1" w:fontKey="{E2395B07-9CD4-4821-8005-BA6199BB3858}"/>
  </w:font>
  <w:font w:name="方正仿宋_GB2312">
    <w:panose1 w:val="02000000000000000000"/>
    <w:charset w:val="86"/>
    <w:family w:val="auto"/>
    <w:pitch w:val="default"/>
    <w:sig w:usb0="A00002BF" w:usb1="184F6CFA" w:usb2="00000012" w:usb3="00000000" w:csb0="00040001" w:csb1="00000000"/>
    <w:embedRegular r:id="rId2" w:fontKey="{C3888D69-04A9-47AA-826D-C4F9F293B8B6}"/>
  </w:font>
  <w:font w:name="仿宋">
    <w:panose1 w:val="02010609060101010101"/>
    <w:charset w:val="86"/>
    <w:family w:val="modern"/>
    <w:pitch w:val="default"/>
    <w:sig w:usb0="800002BF" w:usb1="38CF7CFA" w:usb2="00000016" w:usb3="00000000" w:csb0="00040001" w:csb1="00000000"/>
    <w:embedRegular r:id="rId3" w:fontKey="{C37944B8-68A1-4129-984B-6EC616135A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TI5ZDdkYzg2OTYxOWRlYzZiZWE4NjBiMDQzNjAifQ=="/>
  </w:docVars>
  <w:rsids>
    <w:rsidRoot w:val="00000000"/>
    <w:rsid w:val="01C10205"/>
    <w:rsid w:val="02BF10B9"/>
    <w:rsid w:val="04A76058"/>
    <w:rsid w:val="066F3937"/>
    <w:rsid w:val="0D74514F"/>
    <w:rsid w:val="0F245080"/>
    <w:rsid w:val="11E966D2"/>
    <w:rsid w:val="13C816CE"/>
    <w:rsid w:val="14BC0E10"/>
    <w:rsid w:val="17C87601"/>
    <w:rsid w:val="18FA297B"/>
    <w:rsid w:val="19397D29"/>
    <w:rsid w:val="1C45661F"/>
    <w:rsid w:val="1C4850F5"/>
    <w:rsid w:val="21015E4D"/>
    <w:rsid w:val="21903A30"/>
    <w:rsid w:val="23030E94"/>
    <w:rsid w:val="25B1375E"/>
    <w:rsid w:val="297D4F27"/>
    <w:rsid w:val="2B1F1BB2"/>
    <w:rsid w:val="2D1A6BEF"/>
    <w:rsid w:val="31345596"/>
    <w:rsid w:val="31931D09"/>
    <w:rsid w:val="3564642C"/>
    <w:rsid w:val="35D41F5E"/>
    <w:rsid w:val="3B4F5E8C"/>
    <w:rsid w:val="3CAB509A"/>
    <w:rsid w:val="3F6A19A7"/>
    <w:rsid w:val="424A1411"/>
    <w:rsid w:val="436D772C"/>
    <w:rsid w:val="4748547E"/>
    <w:rsid w:val="48A45E63"/>
    <w:rsid w:val="4C3832E1"/>
    <w:rsid w:val="50652DF3"/>
    <w:rsid w:val="51DF2C52"/>
    <w:rsid w:val="52E938B0"/>
    <w:rsid w:val="5FC814E1"/>
    <w:rsid w:val="61361855"/>
    <w:rsid w:val="61B2508F"/>
    <w:rsid w:val="63282F5B"/>
    <w:rsid w:val="633A0DDB"/>
    <w:rsid w:val="657927B6"/>
    <w:rsid w:val="6907286A"/>
    <w:rsid w:val="707F5861"/>
    <w:rsid w:val="71825F3E"/>
    <w:rsid w:val="730F308E"/>
    <w:rsid w:val="753357D9"/>
    <w:rsid w:val="769F49F2"/>
    <w:rsid w:val="7A18138B"/>
    <w:rsid w:val="7B953B28"/>
    <w:rsid w:val="7BA5672C"/>
    <w:rsid w:val="7D056D12"/>
    <w:rsid w:val="7E834226"/>
    <w:rsid w:val="7F652998"/>
    <w:rsid w:val="7F6A3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宋体" w:hAnsi="宋体" w:eastAsia="宋体" w:cs="宋体"/>
      <w:sz w:val="31"/>
      <w:szCs w:val="31"/>
      <w:lang w:val="en-US" w:eastAsia="en-US" w:bidi="ar-SA"/>
    </w:rPr>
  </w:style>
  <w:style w:type="paragraph" w:styleId="4">
    <w:name w:val="Body Text Indent"/>
    <w:basedOn w:val="1"/>
    <w:qFormat/>
    <w:uiPriority w:val="99"/>
    <w:pPr>
      <w:spacing w:after="120"/>
      <w:ind w:left="420" w:leftChars="200"/>
      <w:jc w:val="both"/>
    </w:pPr>
    <w:rPr>
      <w:rFonts w:ascii="Times New Roman" w:hAnsi="Times New Roman" w:cs="Times New Roman"/>
      <w:kern w:val="2"/>
      <w:sz w:val="21"/>
      <w:szCs w:val="24"/>
      <w:lang w:eastAsia="zh-CN"/>
    </w:rPr>
  </w:style>
  <w:style w:type="paragraph" w:styleId="5">
    <w:name w:val="Plain Text"/>
    <w:basedOn w:val="1"/>
    <w:next w:val="1"/>
    <w:qFormat/>
    <w:uiPriority w:val="0"/>
    <w:rPr>
      <w:rFonts w:ascii="宋体" w:hAnsi="Courier New"/>
    </w:rPr>
  </w:style>
  <w:style w:type="paragraph" w:styleId="6">
    <w:name w:val="envelope return"/>
    <w:basedOn w:val="1"/>
    <w:qFormat/>
    <w:uiPriority w:val="99"/>
    <w:pPr>
      <w:snapToGrid w:val="0"/>
    </w:pPr>
    <w:rPr>
      <w:rFonts w:ascii="Arial" w:hAnsi="Arial" w:cs="Arial"/>
    </w:rPr>
  </w:style>
  <w:style w:type="paragraph" w:styleId="7">
    <w:name w:val="List"/>
    <w:basedOn w:val="1"/>
    <w:qFormat/>
    <w:uiPriority w:val="99"/>
    <w:pPr>
      <w:ind w:left="420" w:hanging="420"/>
    </w:pPr>
    <w:rPr>
      <w:rFonts w:ascii="Arial" w:hAnsi="Arial" w:eastAsia="楷体_GB2312"/>
      <w:kern w:val="2"/>
      <w:sz w:val="28"/>
    </w:rPr>
  </w:style>
  <w:style w:type="paragraph" w:styleId="8">
    <w:name w:val="Body Text First Indent 2"/>
    <w:basedOn w:val="4"/>
    <w:qFormat/>
    <w:uiPriority w:val="99"/>
    <w:pPr>
      <w:ind w:firstLine="420" w:firstLineChars="200"/>
    </w:p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13">
    <w:name w:val="List Paragraph"/>
    <w:basedOn w:val="1"/>
    <w:qFormat/>
    <w:uiPriority w:val="34"/>
    <w:pPr>
      <w:widowControl/>
      <w:ind w:left="720"/>
      <w:jc w:val="left"/>
    </w:pPr>
    <w:rPr>
      <w:rFonts w:ascii="Calibri" w:hAnsi="Calibri" w:cs="宋体"/>
      <w:kern w:val="0"/>
      <w:sz w:val="22"/>
      <w:szCs w:val="22"/>
    </w:rPr>
  </w:style>
  <w:style w:type="paragraph" w:customStyle="1" w:styleId="14">
    <w:name w:val="Table Text"/>
    <w:basedOn w:val="1"/>
    <w:semiHidden/>
    <w:qFormat/>
    <w:uiPriority w:val="0"/>
    <w:rPr>
      <w:rFonts w:ascii="宋体" w:hAnsi="宋体" w:eastAsia="宋体" w:cs="宋体"/>
      <w:sz w:val="23"/>
      <w:szCs w:val="23"/>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4541</Words>
  <Characters>4839</Characters>
  <Lines>0</Lines>
  <Paragraphs>0</Paragraphs>
  <TotalTime>8</TotalTime>
  <ScaleCrop>false</ScaleCrop>
  <LinksUpToDate>false</LinksUpToDate>
  <CharactersWithSpaces>4857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LYY</dc:creator>
  <cp:lastModifiedBy>ggggggg</cp:lastModifiedBy>
  <cp:lastPrinted>2025-08-20T03:00:00Z</cp:lastPrinted>
  <dcterms:modified xsi:type="dcterms:W3CDTF">2025-08-20T08:19:12Z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5001CB7EA92F49D0BF60953D3FBF0FB1_13</vt:lpwstr>
  </property>
  <property fmtid="{D5CDD505-2E9C-101B-9397-08002B2CF9AE}" pid="4" name="KSOTemplateDocerSaveRecord">
    <vt:lpwstr>eyJoZGlkIjoiNTFhNWI1ZDY2ZDM2ZTIzOWZkODUyYWJlYjdmNTE5MzcifQ==</vt:lpwstr>
  </property>
</Properties>
</file>