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C1A3">
      <w:pPr>
        <w:numPr>
          <w:numId w:val="0"/>
        </w:numPr>
        <w:jc w:val="both"/>
        <w:rPr>
          <w:rFonts w:hint="eastAsia" w:asciiTheme="majorEastAsia" w:hAnsiTheme="majorEastAsia" w:eastAsiaTheme="majorEastAsia" w:cstheme="majorEastAsia"/>
          <w:sz w:val="32"/>
          <w:szCs w:val="32"/>
          <w:lang w:val="en-US"/>
        </w:rPr>
      </w:pPr>
    </w:p>
    <w:p w14:paraId="71C248F6">
      <w:pPr>
        <w:numPr>
          <w:numId w:val="0"/>
        </w:num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磁刺激仪冷却系统维修配件采购项目</w:t>
      </w:r>
    </w:p>
    <w:p w14:paraId="4EB44FFD">
      <w:pPr>
        <w:numPr>
          <w:numId w:val="0"/>
        </w:num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技术要求</w:t>
      </w:r>
    </w:p>
    <w:p w14:paraId="3815572D">
      <w:pPr>
        <w:numPr>
          <w:numId w:val="0"/>
        </w:num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预算：4.6万元</w:t>
      </w:r>
    </w:p>
    <w:p w14:paraId="38E71F1E">
      <w:pPr>
        <w:numPr>
          <w:ilvl w:val="0"/>
          <w:numId w:val="1"/>
        </w:num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该套冷却系统组件要求由原厂生产安装并经过严格的质量检测，确保与设备主体（磁刺激仪 MS 080）完全匹配，保障系统运行的稳定性与可靠性。所有部件均采用耐腐蚀、耐高温材料制成，适应长时间连续工作需求，保证各组件间的协同效率，有效提升散热性能，延长设备使用寿命。</w:t>
      </w:r>
    </w:p>
    <w:p w14:paraId="6164D42B">
      <w:pPr>
        <w:numPr>
          <w:ilvl w:val="0"/>
          <w:numId w:val="1"/>
        </w:num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冷却能力：确保设备在最高刺激频率和强度下能长时间稳定工作，线圈不过热。</w:t>
      </w:r>
    </w:p>
    <w:p w14:paraId="016FB7A8">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2、温度控制范围与精度：冷却液进出口温度的控制范围及稳定性。</w:t>
      </w:r>
    </w:p>
    <w:p w14:paraId="169A417D">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3、流量要求：冷却液循环的流速范围。</w:t>
      </w:r>
    </w:p>
    <w:p w14:paraId="85274799">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4、安全保护阈值：如何时触发高温报警、低温报警、流量报警等（例如常见的线圈温度40℃停机保护）。</w:t>
      </w:r>
    </w:p>
    <w:p w14:paraId="67DEA487">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5、系统关键组件：该冷却系统通常包含水箱（用于储存冷却液）、水泵（驱动冷却液循环）、流量传感器（监测液体流速）、温度传感器（监测冷却液温度和线圈温度）、液压传感器（监测系统压力）、液位传感器（监测冷却液容量，防过低）、气泵（可能用于系统加压或排空）以及散热风扇（为循环回来的冷却液散热）等。</w:t>
      </w:r>
    </w:p>
    <w:p w14:paraId="B01C07B1">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6、 智能控制与安全保障：所有这些传感器都与设备的控制模块相连，实现实时监控。一旦检测到任何异常，如流量过低、温度过高（例如线圈温度达到或超过40℃时会自动停止输出）、液位不足或压力异常，系统会发出警报并采取相应的保护措施（如停止刺激输出）</w:t>
      </w:r>
    </w:p>
    <w:p w14:paraId="4D63FEE9">
      <w:pPr>
        <w:rPr>
          <w:rFonts w:hint="eastAsia" w:asciiTheme="majorEastAsia" w:hAnsiTheme="majorEastAsia" w:eastAsiaTheme="majorEastAsia" w:cstheme="majorEastAsia"/>
          <w:sz w:val="32"/>
          <w:szCs w:val="32"/>
          <w:lang w:val="en-US" w:eastAsia="zh-CN"/>
        </w:rPr>
      </w:pPr>
    </w:p>
    <w:p w14:paraId="28422F7A">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到货及服务时间要求：</w:t>
      </w:r>
      <w:r>
        <w:rPr>
          <w:rFonts w:hint="eastAsia" w:asciiTheme="majorEastAsia" w:hAnsiTheme="majorEastAsia" w:eastAsiaTheme="majorEastAsia" w:cstheme="majorEastAsia"/>
          <w:b w:val="0"/>
          <w:bCs w:val="0"/>
          <w:color w:val="auto"/>
          <w:sz w:val="32"/>
          <w:szCs w:val="32"/>
          <w:lang w:val="en-US" w:eastAsia="zh-CN"/>
        </w:rPr>
        <w:t>取得中标通知书一周内完成冷却组件的安装，设备正常运行使用。</w:t>
      </w:r>
    </w:p>
    <w:p w14:paraId="79B0BBEA">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质保期：</w:t>
      </w:r>
      <w:r>
        <w:rPr>
          <w:rFonts w:hint="eastAsia" w:asciiTheme="majorEastAsia" w:hAnsiTheme="majorEastAsia" w:eastAsiaTheme="majorEastAsia" w:cstheme="majorEastAsia"/>
          <w:b w:val="0"/>
          <w:bCs w:val="0"/>
          <w:color w:val="auto"/>
          <w:sz w:val="32"/>
          <w:szCs w:val="32"/>
          <w:lang w:val="en-US" w:eastAsia="zh-CN"/>
        </w:rPr>
        <w:t>设备维修完成并且验收合格后质保期限为一年，即在验收合格后一年内若出现相同故障问题的话应无条件更换相同配件或维修。</w:t>
      </w:r>
    </w:p>
    <w:p w14:paraId="007BE509">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付款方式：</w:t>
      </w:r>
      <w:r>
        <w:rPr>
          <w:rFonts w:hint="eastAsia" w:asciiTheme="majorEastAsia" w:hAnsiTheme="majorEastAsia" w:eastAsiaTheme="majorEastAsia" w:cstheme="majorEastAsia"/>
          <w:b w:val="0"/>
          <w:bCs w:val="0"/>
          <w:color w:val="auto"/>
          <w:sz w:val="32"/>
          <w:szCs w:val="32"/>
          <w:lang w:val="en-US" w:eastAsia="zh-CN"/>
        </w:rPr>
        <w:t>设备维修完成且验收</w:t>
      </w:r>
      <w:bookmarkStart w:id="0" w:name="_GoBack"/>
      <w:bookmarkEnd w:id="0"/>
      <w:r>
        <w:rPr>
          <w:rFonts w:hint="eastAsia" w:asciiTheme="majorEastAsia" w:hAnsiTheme="majorEastAsia" w:eastAsiaTheme="majorEastAsia" w:cstheme="majorEastAsia"/>
          <w:b w:val="0"/>
          <w:bCs w:val="0"/>
          <w:color w:val="auto"/>
          <w:sz w:val="32"/>
          <w:szCs w:val="32"/>
          <w:lang w:val="en-US" w:eastAsia="zh-CN"/>
        </w:rPr>
        <w:t>合格后，三个月付款100%。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3A6C7"/>
    <w:multiLevelType w:val="singleLevel"/>
    <w:tmpl w:val="A1E3A6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E84C05"/>
    <w:rsid w:val="23134A02"/>
    <w:rsid w:val="3357415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642</Words>
  <Characters>651</Characters>
  <Paragraphs>6</Paragraphs>
  <TotalTime>6</TotalTime>
  <ScaleCrop>false</ScaleCrop>
  <LinksUpToDate>false</LinksUpToDate>
  <CharactersWithSpaces>654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2025-09-13T03:57:00Z</dcterms:created>
  <dc:creator>ALN-AL00</dc:creator>
  <cp:lastModifiedBy>leaf</cp:lastModifiedBy>
  <dcterms:modified xsi:type="dcterms:W3CDTF">2025-09-28T05:39:19Z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E8F6039210BC4C79AF4C9B457716C79D_13</vt:lpwstr>
  </property>
  <property fmtid="{D5CDD505-2E9C-101B-9397-08002B2CF9AE}" pid="3" name="KSOProductBuildVer">
    <vt:lpwstr>2052-12.1.0.22529</vt:lpwstr>
  </property>
  <property fmtid="{D5CDD505-2E9C-101B-9397-08002B2CF9AE}" pid="4" name="KSOTemplateDocerSaveRecord">
    <vt:lpwstr>eyJoZGlkIjoiYWZmMjI5MGIwODkzMWY3YmJhYmNjNDg3Y2NkZTkyOGIiLCJ1c2VySWQiOiI1ODU4NzQwODMifQ==</vt:lpwstr>
  </property>
</Properties>
</file>